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DB" w:rsidRDefault="006C5DDB"/>
    <w:p w:rsidR="006C5DDB" w:rsidRDefault="006C5DDB"/>
    <w:p w:rsidR="006C5DDB" w:rsidRDefault="006C5DDB"/>
    <w:p w:rsidR="006C5DDB" w:rsidRDefault="006C5DDB"/>
    <w:p w:rsidR="006C5DDB" w:rsidRDefault="006C5DDB"/>
    <w:tbl>
      <w:tblPr>
        <w:tblW w:w="5000" w:type="pct"/>
        <w:tblCellSpacing w:w="0" w:type="dxa"/>
        <w:tblCellMar>
          <w:left w:w="0" w:type="dxa"/>
          <w:right w:w="0" w:type="dxa"/>
        </w:tblCellMar>
        <w:tblLook w:val="0000"/>
      </w:tblPr>
      <w:tblGrid>
        <w:gridCol w:w="2420"/>
        <w:gridCol w:w="4424"/>
        <w:gridCol w:w="2516"/>
      </w:tblGrid>
      <w:tr w:rsidR="006C5DDB" w:rsidRPr="0047109F" w:rsidTr="006C5DDB">
        <w:trPr>
          <w:trHeight w:val="2190"/>
          <w:tblCellSpacing w:w="0" w:type="dxa"/>
        </w:trPr>
        <w:tc>
          <w:tcPr>
            <w:tcW w:w="1304" w:type="pct"/>
            <w:tcBorders>
              <w:bottom w:val="single" w:sz="48" w:space="0" w:color="000099"/>
            </w:tcBorders>
            <w:vAlign w:val="center"/>
          </w:tcPr>
          <w:p w:rsidR="006C5DDB" w:rsidRPr="0047109F" w:rsidRDefault="006C5DDB" w:rsidP="006C5DDB">
            <w:pPr>
              <w:rPr>
                <w:rFonts w:ascii="Verdana" w:hAnsi="Verdana"/>
                <w:color w:val="000000"/>
                <w:sz w:val="18"/>
                <w:szCs w:val="18"/>
              </w:rPr>
            </w:pPr>
          </w:p>
        </w:tc>
        <w:tc>
          <w:tcPr>
            <w:tcW w:w="2341" w:type="pct"/>
            <w:tcBorders>
              <w:bottom w:val="single" w:sz="48" w:space="0" w:color="000099"/>
            </w:tcBorders>
            <w:vAlign w:val="center"/>
          </w:tcPr>
          <w:p w:rsidR="006C5DDB" w:rsidRPr="0047109F" w:rsidRDefault="006C5DDB" w:rsidP="006C5DDB">
            <w:pPr>
              <w:rPr>
                <w:rFonts w:ascii="Verdana" w:hAnsi="Verdana"/>
                <w:color w:val="000000"/>
                <w:sz w:val="18"/>
                <w:szCs w:val="18"/>
              </w:rPr>
            </w:pPr>
            <w:r w:rsidRPr="0047109F">
              <w:rPr>
                <w:rFonts w:ascii="Verdana" w:hAnsi="Verdana"/>
                <w:color w:val="000000"/>
                <w:sz w:val="18"/>
                <w:szCs w:val="18"/>
              </w:rPr>
              <w:t>    </w:t>
            </w:r>
            <w:r w:rsidR="00E34D6E">
              <w:rPr>
                <w:rFonts w:ascii="Verdana" w:hAnsi="Verdana"/>
                <w:noProof/>
                <w:color w:val="000066"/>
                <w:sz w:val="18"/>
                <w:szCs w:val="18"/>
              </w:rPr>
              <w:drawing>
                <wp:inline distT="0" distB="0" distL="0" distR="0">
                  <wp:extent cx="2619375" cy="1581150"/>
                  <wp:effectExtent l="19050" t="0" r="9525" b="0"/>
                  <wp:docPr id="1" name="Picture 1" descr="la_bdr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_bdreg"/>
                          <pic:cNvPicPr>
                            <a:picLocks noChangeAspect="1" noChangeArrowheads="1"/>
                          </pic:cNvPicPr>
                        </pic:nvPicPr>
                        <pic:blipFill>
                          <a:blip r:embed="rId6" cstate="print"/>
                          <a:srcRect/>
                          <a:stretch>
                            <a:fillRect/>
                          </a:stretch>
                        </pic:blipFill>
                        <pic:spPr bwMode="auto">
                          <a:xfrm>
                            <a:off x="0" y="0"/>
                            <a:ext cx="2619375" cy="1581150"/>
                          </a:xfrm>
                          <a:prstGeom prst="rect">
                            <a:avLst/>
                          </a:prstGeom>
                          <a:noFill/>
                          <a:ln w="9525">
                            <a:noFill/>
                            <a:miter lim="800000"/>
                            <a:headEnd/>
                            <a:tailEnd/>
                          </a:ln>
                        </pic:spPr>
                      </pic:pic>
                    </a:graphicData>
                  </a:graphic>
                </wp:inline>
              </w:drawing>
            </w:r>
          </w:p>
        </w:tc>
        <w:tc>
          <w:tcPr>
            <w:tcW w:w="1355" w:type="pct"/>
            <w:tcBorders>
              <w:bottom w:val="single" w:sz="48" w:space="0" w:color="000099"/>
            </w:tcBorders>
            <w:vAlign w:val="center"/>
          </w:tcPr>
          <w:p w:rsidR="006C5DDB" w:rsidRPr="0047109F" w:rsidRDefault="006C5DDB" w:rsidP="006C5DDB">
            <w:pPr>
              <w:jc w:val="center"/>
              <w:rPr>
                <w:rFonts w:ascii="Verdana" w:hAnsi="Verdana"/>
                <w:color w:val="000000"/>
                <w:sz w:val="18"/>
                <w:szCs w:val="18"/>
              </w:rPr>
            </w:pPr>
          </w:p>
        </w:tc>
      </w:tr>
    </w:tbl>
    <w:p w:rsidR="006C5DDB" w:rsidRDefault="006C5DDB" w:rsidP="006C5DDB">
      <w:pPr>
        <w:jc w:val="center"/>
        <w:rPr>
          <w:sz w:val="44"/>
          <w:szCs w:val="44"/>
        </w:rPr>
      </w:pPr>
    </w:p>
    <w:p w:rsidR="006C5DDB" w:rsidRDefault="006C5DDB" w:rsidP="006C5DDB">
      <w:pPr>
        <w:jc w:val="center"/>
        <w:rPr>
          <w:sz w:val="44"/>
          <w:szCs w:val="44"/>
        </w:rPr>
      </w:pPr>
    </w:p>
    <w:p w:rsidR="006C5DDB" w:rsidRDefault="006C5DDB" w:rsidP="006C5DDB">
      <w:pPr>
        <w:jc w:val="center"/>
        <w:rPr>
          <w:sz w:val="44"/>
          <w:szCs w:val="44"/>
        </w:rPr>
      </w:pPr>
    </w:p>
    <w:p w:rsidR="006C5DDB" w:rsidRPr="000E54C7" w:rsidRDefault="006C5DDB" w:rsidP="006C5DDB">
      <w:pPr>
        <w:jc w:val="center"/>
        <w:rPr>
          <w:sz w:val="52"/>
          <w:szCs w:val="52"/>
        </w:rPr>
      </w:pPr>
      <w:r w:rsidRPr="000E54C7">
        <w:rPr>
          <w:sz w:val="52"/>
          <w:szCs w:val="52"/>
        </w:rPr>
        <w:t>Welcome</w:t>
      </w:r>
    </w:p>
    <w:p w:rsidR="006C5DDB" w:rsidRPr="000E54C7" w:rsidRDefault="006C5DDB" w:rsidP="006C5DDB">
      <w:pPr>
        <w:jc w:val="center"/>
        <w:rPr>
          <w:sz w:val="52"/>
          <w:szCs w:val="52"/>
        </w:rPr>
      </w:pPr>
    </w:p>
    <w:p w:rsidR="006C5DDB" w:rsidRPr="000E54C7" w:rsidRDefault="006C5DDB" w:rsidP="006C5DDB">
      <w:pPr>
        <w:jc w:val="center"/>
        <w:rPr>
          <w:sz w:val="52"/>
          <w:szCs w:val="52"/>
        </w:rPr>
      </w:pPr>
      <w:r w:rsidRPr="000E54C7">
        <w:rPr>
          <w:sz w:val="52"/>
          <w:szCs w:val="52"/>
        </w:rPr>
        <w:t>To the</w:t>
      </w:r>
    </w:p>
    <w:p w:rsidR="006C5DDB" w:rsidRPr="000E54C7" w:rsidRDefault="006C5DDB" w:rsidP="006C5DDB">
      <w:pPr>
        <w:jc w:val="center"/>
        <w:rPr>
          <w:sz w:val="52"/>
          <w:szCs w:val="52"/>
        </w:rPr>
      </w:pPr>
    </w:p>
    <w:p w:rsidR="006C5DDB" w:rsidRPr="000E54C7" w:rsidRDefault="006C5DDB" w:rsidP="006C5DDB">
      <w:pPr>
        <w:jc w:val="center"/>
        <w:rPr>
          <w:sz w:val="52"/>
          <w:szCs w:val="52"/>
        </w:rPr>
      </w:pPr>
      <w:r w:rsidRPr="000E54C7">
        <w:rPr>
          <w:sz w:val="52"/>
          <w:szCs w:val="52"/>
        </w:rPr>
        <w:t>Board of Regents</w:t>
      </w:r>
    </w:p>
    <w:p w:rsidR="0047109F" w:rsidRDefault="006C5DDB">
      <w:r>
        <w:br w:type="page"/>
      </w:r>
    </w:p>
    <w:tbl>
      <w:tblPr>
        <w:tblW w:w="5000" w:type="pct"/>
        <w:tblCellSpacing w:w="0" w:type="dxa"/>
        <w:tblCellMar>
          <w:left w:w="0" w:type="dxa"/>
          <w:right w:w="0" w:type="dxa"/>
        </w:tblCellMar>
        <w:tblLook w:val="0000"/>
      </w:tblPr>
      <w:tblGrid>
        <w:gridCol w:w="4170"/>
        <w:gridCol w:w="2548"/>
        <w:gridCol w:w="2642"/>
      </w:tblGrid>
      <w:tr w:rsidR="0047109F" w:rsidRPr="0047109F">
        <w:trPr>
          <w:trHeight w:val="2190"/>
          <w:tblCellSpacing w:w="0" w:type="dxa"/>
        </w:trPr>
        <w:tc>
          <w:tcPr>
            <w:tcW w:w="1650" w:type="pct"/>
            <w:tcBorders>
              <w:bottom w:val="single" w:sz="48" w:space="0" w:color="000099"/>
            </w:tcBorders>
            <w:vAlign w:val="center"/>
          </w:tcPr>
          <w:p w:rsidR="0047109F" w:rsidRPr="0047109F" w:rsidRDefault="00E34D6E" w:rsidP="0047109F">
            <w:pPr>
              <w:rPr>
                <w:rFonts w:ascii="Verdana" w:hAnsi="Verdana"/>
                <w:color w:val="000000"/>
                <w:sz w:val="18"/>
                <w:szCs w:val="18"/>
              </w:rPr>
            </w:pPr>
            <w:r>
              <w:rPr>
                <w:rFonts w:ascii="Verdana" w:hAnsi="Verdana"/>
                <w:noProof/>
                <w:color w:val="000066"/>
                <w:sz w:val="18"/>
                <w:szCs w:val="18"/>
              </w:rPr>
              <w:drawing>
                <wp:inline distT="0" distB="0" distL="0" distR="0">
                  <wp:extent cx="2619375" cy="1066800"/>
                  <wp:effectExtent l="19050" t="0" r="9525" b="0"/>
                  <wp:docPr id="2" name="Picture 2" descr="la_bdr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_bdreg"/>
                          <pic:cNvPicPr>
                            <a:picLocks noChangeAspect="1" noChangeArrowheads="1"/>
                          </pic:cNvPicPr>
                        </pic:nvPicPr>
                        <pic:blipFill>
                          <a:blip r:embed="rId6" cstate="print"/>
                          <a:srcRect/>
                          <a:stretch>
                            <a:fillRect/>
                          </a:stretch>
                        </pic:blipFill>
                        <pic:spPr bwMode="auto">
                          <a:xfrm>
                            <a:off x="0" y="0"/>
                            <a:ext cx="2619375" cy="1066800"/>
                          </a:xfrm>
                          <a:prstGeom prst="rect">
                            <a:avLst/>
                          </a:prstGeom>
                          <a:noFill/>
                          <a:ln w="9525">
                            <a:noFill/>
                            <a:miter lim="800000"/>
                            <a:headEnd/>
                            <a:tailEnd/>
                          </a:ln>
                        </pic:spPr>
                      </pic:pic>
                    </a:graphicData>
                  </a:graphic>
                </wp:inline>
              </w:drawing>
            </w:r>
          </w:p>
        </w:tc>
        <w:tc>
          <w:tcPr>
            <w:tcW w:w="1650" w:type="pct"/>
            <w:tcBorders>
              <w:bottom w:val="single" w:sz="48" w:space="0" w:color="000099"/>
            </w:tcBorders>
            <w:vAlign w:val="center"/>
          </w:tcPr>
          <w:p w:rsidR="0047109F" w:rsidRPr="0047109F" w:rsidRDefault="0047109F" w:rsidP="0047109F">
            <w:pPr>
              <w:rPr>
                <w:rFonts w:ascii="Verdana" w:hAnsi="Verdana"/>
                <w:color w:val="000000"/>
                <w:sz w:val="18"/>
                <w:szCs w:val="18"/>
              </w:rPr>
            </w:pPr>
            <w:r w:rsidRPr="0047109F">
              <w:rPr>
                <w:rFonts w:ascii="Verdana" w:hAnsi="Verdana"/>
                <w:color w:val="000000"/>
                <w:sz w:val="18"/>
                <w:szCs w:val="18"/>
              </w:rPr>
              <w:t>    </w:t>
            </w:r>
          </w:p>
        </w:tc>
        <w:tc>
          <w:tcPr>
            <w:tcW w:w="1700" w:type="pct"/>
            <w:tcBorders>
              <w:bottom w:val="single" w:sz="48" w:space="0" w:color="000099"/>
            </w:tcBorders>
            <w:vAlign w:val="center"/>
          </w:tcPr>
          <w:p w:rsidR="0047109F" w:rsidRPr="0047109F" w:rsidRDefault="00E34D6E" w:rsidP="0047109F">
            <w:pPr>
              <w:jc w:val="center"/>
              <w:rPr>
                <w:rFonts w:ascii="Verdana" w:hAnsi="Verdana"/>
                <w:color w:val="000000"/>
                <w:sz w:val="18"/>
                <w:szCs w:val="18"/>
              </w:rPr>
            </w:pPr>
            <w:r>
              <w:rPr>
                <w:rFonts w:ascii="Verdana" w:hAnsi="Verdana"/>
                <w:noProof/>
                <w:color w:val="000000"/>
                <w:sz w:val="18"/>
                <w:szCs w:val="18"/>
              </w:rPr>
              <w:drawing>
                <wp:inline distT="0" distB="0" distL="0" distR="0">
                  <wp:extent cx="1466850" cy="1143000"/>
                  <wp:effectExtent l="19050" t="0" r="0" b="0"/>
                  <wp:docPr id="3" name="Picture 3" descr="RightHeade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HeaderImg"/>
                          <pic:cNvPicPr>
                            <a:picLocks noChangeAspect="1" noChangeArrowheads="1"/>
                          </pic:cNvPicPr>
                        </pic:nvPicPr>
                        <pic:blipFill>
                          <a:blip r:embed="rId7" cstate="print"/>
                          <a:srcRect/>
                          <a:stretch>
                            <a:fillRect/>
                          </a:stretch>
                        </pic:blipFill>
                        <pic:spPr bwMode="auto">
                          <a:xfrm>
                            <a:off x="0" y="0"/>
                            <a:ext cx="1466850" cy="1143000"/>
                          </a:xfrm>
                          <a:prstGeom prst="rect">
                            <a:avLst/>
                          </a:prstGeom>
                          <a:noFill/>
                          <a:ln w="9525">
                            <a:noFill/>
                            <a:miter lim="800000"/>
                            <a:headEnd/>
                            <a:tailEnd/>
                          </a:ln>
                        </pic:spPr>
                      </pic:pic>
                    </a:graphicData>
                  </a:graphic>
                </wp:inline>
              </w:drawing>
            </w:r>
          </w:p>
        </w:tc>
      </w:tr>
    </w:tbl>
    <w:p w:rsidR="0047109F" w:rsidRPr="0047109F" w:rsidRDefault="0047109F" w:rsidP="0047109F">
      <w:pPr>
        <w:rPr>
          <w:vanish/>
          <w:color w:val="000000"/>
        </w:rPr>
      </w:pPr>
    </w:p>
    <w:tbl>
      <w:tblPr>
        <w:tblW w:w="5000" w:type="pct"/>
        <w:tblCellSpacing w:w="0" w:type="dxa"/>
        <w:tblCellMar>
          <w:left w:w="0" w:type="dxa"/>
          <w:right w:w="0" w:type="dxa"/>
        </w:tblCellMar>
        <w:tblLook w:val="0000"/>
      </w:tblPr>
      <w:tblGrid>
        <w:gridCol w:w="94"/>
        <w:gridCol w:w="9266"/>
      </w:tblGrid>
      <w:tr w:rsidR="0047109F" w:rsidRPr="0047109F">
        <w:trPr>
          <w:tblCellSpacing w:w="0" w:type="dxa"/>
        </w:trPr>
        <w:tc>
          <w:tcPr>
            <w:tcW w:w="50" w:type="pct"/>
          </w:tcPr>
          <w:p w:rsidR="004A056F" w:rsidRPr="0047109F" w:rsidRDefault="004A056F" w:rsidP="0047109F">
            <w:pPr>
              <w:spacing w:before="100" w:beforeAutospacing="1" w:after="100" w:afterAutospacing="1"/>
              <w:rPr>
                <w:rFonts w:ascii="Verdana" w:hAnsi="Verdana"/>
                <w:color w:val="000000"/>
                <w:sz w:val="18"/>
                <w:szCs w:val="18"/>
              </w:rPr>
            </w:pPr>
          </w:p>
        </w:tc>
        <w:tc>
          <w:tcPr>
            <w:tcW w:w="360" w:type="dxa"/>
          </w:tcPr>
          <w:tbl>
            <w:tblPr>
              <w:tblW w:w="5000" w:type="pct"/>
              <w:tblCellSpacing w:w="0" w:type="dxa"/>
              <w:tblCellMar>
                <w:left w:w="0" w:type="dxa"/>
                <w:right w:w="0" w:type="dxa"/>
              </w:tblCellMar>
              <w:tblLook w:val="0000"/>
            </w:tblPr>
            <w:tblGrid>
              <w:gridCol w:w="9266"/>
            </w:tblGrid>
            <w:tr w:rsidR="0047109F" w:rsidRPr="0047109F">
              <w:trPr>
                <w:tblCellSpacing w:w="0" w:type="dxa"/>
              </w:trPr>
              <w:tc>
                <w:tcPr>
                  <w:tcW w:w="0" w:type="auto"/>
                  <w:vAlign w:val="center"/>
                </w:tcPr>
                <w:p w:rsidR="0047109F" w:rsidRDefault="0047109F" w:rsidP="0047109F">
                  <w:pPr>
                    <w:rPr>
                      <w:rFonts w:ascii="Verdana" w:hAnsi="Verdana"/>
                      <w:color w:val="000000"/>
                      <w:sz w:val="18"/>
                      <w:szCs w:val="18"/>
                    </w:rPr>
                  </w:pPr>
                  <w:r w:rsidRPr="0047109F">
                    <w:rPr>
                      <w:rFonts w:ascii="Verdana" w:hAnsi="Verdana"/>
                      <w:color w:val="000000"/>
                      <w:sz w:val="18"/>
                      <w:szCs w:val="18"/>
                    </w:rPr>
                    <w:br/>
                  </w:r>
                </w:p>
                <w:p w:rsidR="0047109F" w:rsidRDefault="0047109F" w:rsidP="0047109F">
                  <w:r>
                    <w:t>Monday, Carla</w:t>
                  </w:r>
                  <w:r w:rsidR="00301571">
                    <w:t xml:space="preserve"> Smith</w:t>
                  </w:r>
                  <w:r>
                    <w:t>, Receptionist, will change the telephone extension list to reflect your name.</w:t>
                  </w:r>
                </w:p>
                <w:p w:rsidR="0047109F" w:rsidRDefault="0047109F" w:rsidP="0047109F"/>
                <w:p w:rsidR="0047109F" w:rsidRDefault="0047109F" w:rsidP="0047109F">
                  <w:r>
                    <w:t xml:space="preserve">The telephone number here is </w:t>
                  </w:r>
                  <w:r w:rsidRPr="0047109F">
                    <w:rPr>
                      <w:sz w:val="28"/>
                      <w:szCs w:val="28"/>
                    </w:rPr>
                    <w:t>225.342.4253</w:t>
                  </w:r>
                  <w:r>
                    <w:t xml:space="preserve"> and your extension is </w:t>
                  </w:r>
                  <w:r w:rsidR="00301571">
                    <w:t>652</w:t>
                  </w:r>
                  <w:r>
                    <w:t>.</w:t>
                  </w:r>
                  <w:r w:rsidR="007213D7">
                    <w:t xml:space="preserve">  The fax number is 225.342.3371.  The fax machine is located in the main print room by Carla’s desk.</w:t>
                  </w:r>
                  <w:r w:rsidR="00E477D3">
                    <w:t xml:space="preserve"> Your e-mail address will be amber.king@la.gov.</w:t>
                  </w:r>
                </w:p>
                <w:p w:rsidR="0047109F" w:rsidRDefault="0047109F" w:rsidP="0047109F"/>
                <w:p w:rsidR="0047109F" w:rsidRDefault="0047109F" w:rsidP="0047109F">
                  <w:r>
                    <w:t>Use this address for Fed Ex and hand deliveries only.  The physical address for the Board of Regents is:</w:t>
                  </w:r>
                </w:p>
                <w:p w:rsidR="0047109F" w:rsidRDefault="0047109F" w:rsidP="0047109F"/>
                <w:p w:rsidR="0047109F" w:rsidRDefault="0047109F" w:rsidP="0047109F">
                  <w:smartTag w:uri="urn:schemas-microsoft-com:office:smarttags" w:element="address">
                    <w:smartTag w:uri="urn:schemas-microsoft-com:office:smarttags" w:element="Street">
                      <w:r>
                        <w:t>1201 N. 3</w:t>
                      </w:r>
                      <w:r w:rsidRPr="0047109F">
                        <w:rPr>
                          <w:vertAlign w:val="superscript"/>
                        </w:rPr>
                        <w:t>rd</w:t>
                      </w:r>
                      <w:r>
                        <w:t xml:space="preserve"> Street, Suite 6</w:t>
                      </w:r>
                    </w:smartTag>
                    <w:r>
                      <w:t>-</w:t>
                    </w:r>
                  </w:smartTag>
                  <w:r>
                    <w:t>200</w:t>
                  </w:r>
                </w:p>
                <w:p w:rsidR="0047109F" w:rsidRDefault="0047109F" w:rsidP="0047109F">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w:t>
                      </w:r>
                      <w:r w:rsidR="002F214F">
                        <w:t>2</w:t>
                      </w:r>
                    </w:smartTag>
                  </w:smartTag>
                </w:p>
                <w:p w:rsidR="0047109F" w:rsidRDefault="0047109F" w:rsidP="0047109F"/>
                <w:p w:rsidR="0047109F" w:rsidRDefault="0047109F" w:rsidP="0047109F">
                  <w:r>
                    <w:t>For all other reasons, give this address to people.  The mailing address is:</w:t>
                  </w:r>
                </w:p>
                <w:p w:rsidR="0047109F" w:rsidRDefault="0047109F" w:rsidP="0047109F"/>
                <w:p w:rsidR="0047109F" w:rsidRDefault="0047109F" w:rsidP="0047109F">
                  <w:r>
                    <w:t>P</w:t>
                  </w:r>
                  <w:r w:rsidR="00E477D3">
                    <w:t>.</w:t>
                  </w:r>
                  <w:r>
                    <w:t>O</w:t>
                  </w:r>
                  <w:r w:rsidR="00E477D3">
                    <w:t>.</w:t>
                  </w:r>
                  <w:r>
                    <w:t xml:space="preserve"> Box 3677</w:t>
                  </w:r>
                </w:p>
                <w:p w:rsidR="0047109F" w:rsidRDefault="0047109F" w:rsidP="0047109F">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70821</w:t>
                      </w:r>
                    </w:smartTag>
                  </w:smartTag>
                </w:p>
                <w:p w:rsidR="004A056F" w:rsidRPr="0047109F" w:rsidRDefault="004A056F" w:rsidP="0047109F">
                  <w:pPr>
                    <w:spacing w:before="100" w:beforeAutospacing="1" w:after="100" w:afterAutospacing="1"/>
                    <w:jc w:val="center"/>
                    <w:rPr>
                      <w:rFonts w:ascii="Verdana" w:hAnsi="Verdana"/>
                      <w:color w:val="000000"/>
                      <w:sz w:val="18"/>
                      <w:szCs w:val="18"/>
                    </w:rPr>
                  </w:pPr>
                </w:p>
              </w:tc>
            </w:tr>
          </w:tbl>
          <w:p w:rsidR="0047109F" w:rsidRPr="0047109F" w:rsidRDefault="0047109F" w:rsidP="0047109F">
            <w:pPr>
              <w:rPr>
                <w:color w:val="000000"/>
              </w:rPr>
            </w:pPr>
          </w:p>
        </w:tc>
      </w:tr>
    </w:tbl>
    <w:p w:rsidR="0047109F" w:rsidRDefault="0047109F"/>
    <w:p w:rsidR="0047109F" w:rsidRDefault="0047109F" w:rsidP="0047109F">
      <w:pPr>
        <w:pStyle w:val="NormalWeb"/>
      </w:pPr>
      <w:r>
        <w:br w:type="page"/>
      </w:r>
    </w:p>
    <w:tbl>
      <w:tblPr>
        <w:tblW w:w="5000" w:type="pct"/>
        <w:tblCellSpacing w:w="0" w:type="dxa"/>
        <w:tblCellMar>
          <w:left w:w="0" w:type="dxa"/>
          <w:right w:w="0" w:type="dxa"/>
        </w:tblCellMar>
        <w:tblLook w:val="0000"/>
      </w:tblPr>
      <w:tblGrid>
        <w:gridCol w:w="4170"/>
        <w:gridCol w:w="2548"/>
        <w:gridCol w:w="2642"/>
      </w:tblGrid>
      <w:tr w:rsidR="0047109F" w:rsidRPr="0047109F" w:rsidTr="004A056F">
        <w:trPr>
          <w:trHeight w:val="2190"/>
          <w:tblCellSpacing w:w="0" w:type="dxa"/>
        </w:trPr>
        <w:tc>
          <w:tcPr>
            <w:tcW w:w="1650" w:type="pct"/>
            <w:tcBorders>
              <w:bottom w:val="single" w:sz="48" w:space="0" w:color="000099"/>
            </w:tcBorders>
            <w:vAlign w:val="center"/>
          </w:tcPr>
          <w:p w:rsidR="0047109F" w:rsidRPr="0047109F" w:rsidRDefault="00E34D6E" w:rsidP="004A056F">
            <w:pPr>
              <w:rPr>
                <w:rFonts w:ascii="Verdana" w:hAnsi="Verdana"/>
                <w:color w:val="000000"/>
                <w:sz w:val="18"/>
                <w:szCs w:val="18"/>
              </w:rPr>
            </w:pPr>
            <w:r>
              <w:rPr>
                <w:rFonts w:ascii="Verdana" w:hAnsi="Verdana"/>
                <w:noProof/>
                <w:color w:val="000066"/>
                <w:sz w:val="18"/>
                <w:szCs w:val="18"/>
              </w:rPr>
              <w:drawing>
                <wp:inline distT="0" distB="0" distL="0" distR="0">
                  <wp:extent cx="2619375" cy="1066800"/>
                  <wp:effectExtent l="19050" t="0" r="9525" b="0"/>
                  <wp:docPr id="4" name="Picture 4" descr="la_bdr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_bdreg"/>
                          <pic:cNvPicPr>
                            <a:picLocks noChangeAspect="1" noChangeArrowheads="1"/>
                          </pic:cNvPicPr>
                        </pic:nvPicPr>
                        <pic:blipFill>
                          <a:blip r:embed="rId6" cstate="print"/>
                          <a:srcRect/>
                          <a:stretch>
                            <a:fillRect/>
                          </a:stretch>
                        </pic:blipFill>
                        <pic:spPr bwMode="auto">
                          <a:xfrm>
                            <a:off x="0" y="0"/>
                            <a:ext cx="2619375" cy="1066800"/>
                          </a:xfrm>
                          <a:prstGeom prst="rect">
                            <a:avLst/>
                          </a:prstGeom>
                          <a:noFill/>
                          <a:ln w="9525">
                            <a:noFill/>
                            <a:miter lim="800000"/>
                            <a:headEnd/>
                            <a:tailEnd/>
                          </a:ln>
                        </pic:spPr>
                      </pic:pic>
                    </a:graphicData>
                  </a:graphic>
                </wp:inline>
              </w:drawing>
            </w:r>
          </w:p>
        </w:tc>
        <w:tc>
          <w:tcPr>
            <w:tcW w:w="1650" w:type="pct"/>
            <w:tcBorders>
              <w:bottom w:val="single" w:sz="48" w:space="0" w:color="000099"/>
            </w:tcBorders>
            <w:vAlign w:val="center"/>
          </w:tcPr>
          <w:p w:rsidR="0047109F" w:rsidRPr="0047109F" w:rsidRDefault="0047109F" w:rsidP="004A056F">
            <w:pPr>
              <w:rPr>
                <w:rFonts w:ascii="Verdana" w:hAnsi="Verdana"/>
                <w:color w:val="000000"/>
                <w:sz w:val="18"/>
                <w:szCs w:val="18"/>
              </w:rPr>
            </w:pPr>
            <w:r w:rsidRPr="0047109F">
              <w:rPr>
                <w:rFonts w:ascii="Verdana" w:hAnsi="Verdana"/>
                <w:color w:val="000000"/>
                <w:sz w:val="18"/>
                <w:szCs w:val="18"/>
              </w:rPr>
              <w:t>    </w:t>
            </w:r>
          </w:p>
        </w:tc>
        <w:tc>
          <w:tcPr>
            <w:tcW w:w="1700" w:type="pct"/>
            <w:tcBorders>
              <w:bottom w:val="single" w:sz="48" w:space="0" w:color="000099"/>
            </w:tcBorders>
            <w:vAlign w:val="center"/>
          </w:tcPr>
          <w:p w:rsidR="0047109F" w:rsidRPr="0047109F" w:rsidRDefault="00E34D6E" w:rsidP="004A056F">
            <w:pPr>
              <w:jc w:val="center"/>
              <w:rPr>
                <w:rFonts w:ascii="Verdana" w:hAnsi="Verdana"/>
                <w:color w:val="000000"/>
                <w:sz w:val="18"/>
                <w:szCs w:val="18"/>
              </w:rPr>
            </w:pPr>
            <w:r>
              <w:rPr>
                <w:rFonts w:ascii="Verdana" w:hAnsi="Verdana"/>
                <w:noProof/>
                <w:color w:val="000000"/>
                <w:sz w:val="18"/>
                <w:szCs w:val="18"/>
              </w:rPr>
              <w:drawing>
                <wp:inline distT="0" distB="0" distL="0" distR="0">
                  <wp:extent cx="1466850" cy="1143000"/>
                  <wp:effectExtent l="19050" t="0" r="0" b="0"/>
                  <wp:docPr id="5" name="Picture 5" descr="RightHeade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ghtHeaderImg"/>
                          <pic:cNvPicPr>
                            <a:picLocks noChangeAspect="1" noChangeArrowheads="1"/>
                          </pic:cNvPicPr>
                        </pic:nvPicPr>
                        <pic:blipFill>
                          <a:blip r:embed="rId7" cstate="print"/>
                          <a:srcRect/>
                          <a:stretch>
                            <a:fillRect/>
                          </a:stretch>
                        </pic:blipFill>
                        <pic:spPr bwMode="auto">
                          <a:xfrm>
                            <a:off x="0" y="0"/>
                            <a:ext cx="1466850" cy="1143000"/>
                          </a:xfrm>
                          <a:prstGeom prst="rect">
                            <a:avLst/>
                          </a:prstGeom>
                          <a:noFill/>
                          <a:ln w="9525">
                            <a:noFill/>
                            <a:miter lim="800000"/>
                            <a:headEnd/>
                            <a:tailEnd/>
                          </a:ln>
                        </pic:spPr>
                      </pic:pic>
                    </a:graphicData>
                  </a:graphic>
                </wp:inline>
              </w:drawing>
            </w:r>
          </w:p>
        </w:tc>
      </w:tr>
    </w:tbl>
    <w:p w:rsidR="0047109F" w:rsidRPr="0047109F" w:rsidRDefault="0047109F" w:rsidP="0047109F">
      <w:pPr>
        <w:pStyle w:val="NormalWeb"/>
        <w:rPr>
          <w:rFonts w:ascii="Verdana" w:hAnsi="Verdana"/>
          <w:sz w:val="18"/>
          <w:szCs w:val="18"/>
        </w:rPr>
      </w:pPr>
      <w:r w:rsidRPr="0047109F">
        <w:rPr>
          <w:rFonts w:ascii="Verdana" w:hAnsi="Verdana"/>
          <w:b/>
          <w:bCs/>
          <w:sz w:val="18"/>
          <w:szCs w:val="18"/>
        </w:rPr>
        <w:t>Constitutional Authority</w:t>
      </w:r>
      <w:r w:rsidRPr="0047109F">
        <w:rPr>
          <w:rFonts w:ascii="Verdana" w:hAnsi="Verdana"/>
          <w:b/>
          <w:bCs/>
          <w:sz w:val="18"/>
          <w:szCs w:val="18"/>
        </w:rPr>
        <w:br/>
      </w:r>
      <w:r w:rsidRPr="0047109F">
        <w:rPr>
          <w:rFonts w:ascii="Verdana" w:hAnsi="Verdana"/>
          <w:sz w:val="18"/>
          <w:szCs w:val="18"/>
        </w:rPr>
        <w:br/>
        <w:t>The Board of Regents, a state agency created by the</w:t>
      </w:r>
      <w:hyperlink r:id="rId8" w:history="1">
        <w:r w:rsidRPr="0047109F">
          <w:rPr>
            <w:rFonts w:ascii="Verdana" w:hAnsi="Verdana"/>
            <w:color w:val="990033"/>
            <w:sz w:val="18"/>
          </w:rPr>
          <w:t>1974 Louisiana Constitution</w:t>
        </w:r>
      </w:hyperlink>
      <w:r w:rsidRPr="0047109F">
        <w:rPr>
          <w:rFonts w:ascii="Verdana" w:hAnsi="Verdana"/>
          <w:sz w:val="18"/>
          <w:szCs w:val="18"/>
        </w:rPr>
        <w:t xml:space="preserve">, coordinates all public higher education in </w:t>
      </w:r>
      <w:smartTag w:uri="urn:schemas-microsoft-com:office:smarttags" w:element="State">
        <w:smartTag w:uri="urn:schemas-microsoft-com:office:smarttags" w:element="place">
          <w:r w:rsidRPr="0047109F">
            <w:rPr>
              <w:rFonts w:ascii="Verdana" w:hAnsi="Verdana"/>
              <w:sz w:val="18"/>
              <w:szCs w:val="18"/>
            </w:rPr>
            <w:t>Louisiana</w:t>
          </w:r>
        </w:smartTag>
      </w:smartTag>
      <w:r w:rsidRPr="0047109F">
        <w:rPr>
          <w:rFonts w:ascii="Verdana" w:hAnsi="Verdana"/>
          <w:sz w:val="18"/>
          <w:szCs w:val="18"/>
        </w:rPr>
        <w:t xml:space="preserve">.  The Board began operations January 1, 1975, succeeding the Coordinating Council for Higher Education. </w:t>
      </w:r>
    </w:p>
    <w:p w:rsidR="0047109F" w:rsidRPr="0047109F" w:rsidRDefault="0047109F" w:rsidP="0047109F">
      <w:pPr>
        <w:spacing w:before="100" w:beforeAutospacing="1" w:after="100" w:afterAutospacing="1"/>
        <w:rPr>
          <w:rFonts w:ascii="Verdana" w:hAnsi="Verdana"/>
          <w:color w:val="000000"/>
          <w:sz w:val="18"/>
          <w:szCs w:val="18"/>
        </w:rPr>
      </w:pPr>
      <w:r w:rsidRPr="0047109F">
        <w:rPr>
          <w:rFonts w:ascii="Verdana" w:hAnsi="Verdana"/>
          <w:color w:val="000000"/>
          <w:sz w:val="18"/>
          <w:szCs w:val="18"/>
        </w:rPr>
        <w:t xml:space="preserve">The fifteen members of the Board of Regents are appointed by the Governor to six-year, overlapping terms, with at least one (but not more than two) Regents drawn from each of </w:t>
      </w:r>
      <w:smartTag w:uri="urn:schemas-microsoft-com:office:smarttags" w:element="State">
        <w:smartTag w:uri="urn:schemas-microsoft-com:office:smarttags" w:element="place">
          <w:r w:rsidRPr="0047109F">
            <w:rPr>
              <w:rFonts w:ascii="Verdana" w:hAnsi="Verdana"/>
              <w:color w:val="000000"/>
              <w:sz w:val="18"/>
              <w:szCs w:val="18"/>
            </w:rPr>
            <w:t>Louisiana</w:t>
          </w:r>
        </w:smartTag>
      </w:smartTag>
      <w:r w:rsidRPr="0047109F">
        <w:rPr>
          <w:rFonts w:ascii="Verdana" w:hAnsi="Verdana"/>
          <w:color w:val="000000"/>
          <w:sz w:val="18"/>
          <w:szCs w:val="18"/>
        </w:rPr>
        <w:t xml:space="preserve">'s eight Congressional districts.  In addition, the Legislature may provide for the appointment of one student member. </w:t>
      </w:r>
    </w:p>
    <w:p w:rsidR="0047109F" w:rsidRPr="0047109F" w:rsidRDefault="0047109F" w:rsidP="0047109F">
      <w:pPr>
        <w:spacing w:before="100" w:beforeAutospacing="1" w:after="100" w:afterAutospacing="1"/>
        <w:rPr>
          <w:rFonts w:ascii="Verdana" w:hAnsi="Verdana"/>
          <w:color w:val="000000"/>
          <w:sz w:val="18"/>
          <w:szCs w:val="18"/>
        </w:rPr>
      </w:pPr>
      <w:r w:rsidRPr="0047109F">
        <w:rPr>
          <w:rFonts w:ascii="Verdana" w:hAnsi="Verdana"/>
          <w:color w:val="000000"/>
          <w:sz w:val="18"/>
          <w:szCs w:val="18"/>
        </w:rPr>
        <w:t xml:space="preserve">Policies and decision of the Board of Regents are administered by a full-time staff headed by the Commission of Higher Education.  </w:t>
      </w:r>
    </w:p>
    <w:tbl>
      <w:tblPr>
        <w:tblW w:w="5000" w:type="pct"/>
        <w:tblCellSpacing w:w="0" w:type="dxa"/>
        <w:tblCellMar>
          <w:left w:w="0" w:type="dxa"/>
          <w:right w:w="0" w:type="dxa"/>
        </w:tblCellMar>
        <w:tblLook w:val="0000"/>
      </w:tblPr>
      <w:tblGrid>
        <w:gridCol w:w="210"/>
        <w:gridCol w:w="9150"/>
      </w:tblGrid>
      <w:tr w:rsidR="0047109F" w:rsidRPr="0047109F">
        <w:trPr>
          <w:tblCellSpacing w:w="0" w:type="dxa"/>
        </w:trPr>
        <w:tc>
          <w:tcPr>
            <w:tcW w:w="630" w:type="dxa"/>
          </w:tcPr>
          <w:p w:rsidR="0047109F" w:rsidRPr="0047109F" w:rsidRDefault="00E34D6E" w:rsidP="0047109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7109F" w:rsidRPr="0047109F" w:rsidRDefault="0047109F" w:rsidP="0047109F">
            <w:pPr>
              <w:rPr>
                <w:rFonts w:ascii="Verdana" w:hAnsi="Verdana"/>
                <w:color w:val="000000"/>
                <w:sz w:val="18"/>
                <w:szCs w:val="18"/>
              </w:rPr>
            </w:pPr>
            <w:hyperlink r:id="rId10" w:history="1">
              <w:r w:rsidRPr="0047109F">
                <w:rPr>
                  <w:rFonts w:ascii="Verdana" w:hAnsi="Verdana"/>
                  <w:color w:val="000066"/>
                  <w:sz w:val="18"/>
                </w:rPr>
                <w:t>Article VIII. Education; Section 5</w:t>
              </w:r>
            </w:hyperlink>
            <w:r w:rsidRPr="0047109F">
              <w:rPr>
                <w:rFonts w:ascii="Verdana" w:hAnsi="Verdana"/>
                <w:color w:val="000000"/>
                <w:sz w:val="18"/>
                <w:szCs w:val="18"/>
              </w:rPr>
              <w:t>, Board of Regents </w:t>
            </w:r>
          </w:p>
        </w:tc>
      </w:tr>
      <w:tr w:rsidR="0047109F" w:rsidRPr="0047109F">
        <w:trPr>
          <w:tblCellSpacing w:w="0" w:type="dxa"/>
        </w:trPr>
        <w:tc>
          <w:tcPr>
            <w:tcW w:w="630" w:type="dxa"/>
          </w:tcPr>
          <w:p w:rsidR="0047109F" w:rsidRPr="0047109F" w:rsidRDefault="00E34D6E" w:rsidP="0047109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7109F" w:rsidRPr="0047109F" w:rsidRDefault="0047109F" w:rsidP="0047109F">
            <w:pPr>
              <w:rPr>
                <w:rFonts w:ascii="Verdana" w:hAnsi="Verdana"/>
                <w:color w:val="000000"/>
                <w:sz w:val="18"/>
                <w:szCs w:val="18"/>
              </w:rPr>
            </w:pPr>
            <w:hyperlink r:id="rId11" w:history="1">
              <w:r w:rsidRPr="0047109F">
                <w:rPr>
                  <w:rFonts w:ascii="Verdana" w:hAnsi="Verdana"/>
                  <w:color w:val="000066"/>
                  <w:sz w:val="18"/>
                </w:rPr>
                <w:t>Article VII. Revenue and Finance; Section 10.1</w:t>
              </w:r>
            </w:hyperlink>
            <w:r w:rsidRPr="0047109F">
              <w:rPr>
                <w:rFonts w:ascii="Verdana" w:hAnsi="Verdana"/>
                <w:color w:val="000000"/>
                <w:sz w:val="18"/>
                <w:szCs w:val="18"/>
              </w:rPr>
              <w:t>, Quality Trust Fund; Education</w:t>
            </w:r>
          </w:p>
        </w:tc>
      </w:tr>
      <w:tr w:rsidR="0047109F" w:rsidRPr="0047109F">
        <w:trPr>
          <w:tblCellSpacing w:w="0" w:type="dxa"/>
        </w:trPr>
        <w:tc>
          <w:tcPr>
            <w:tcW w:w="630" w:type="dxa"/>
          </w:tcPr>
          <w:p w:rsidR="0047109F" w:rsidRPr="0047109F" w:rsidRDefault="00E34D6E" w:rsidP="0047109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7109F" w:rsidRPr="0047109F" w:rsidRDefault="0047109F" w:rsidP="0047109F">
            <w:pPr>
              <w:rPr>
                <w:rFonts w:ascii="Verdana" w:hAnsi="Verdana"/>
                <w:color w:val="000000"/>
                <w:sz w:val="18"/>
                <w:szCs w:val="18"/>
              </w:rPr>
            </w:pPr>
            <w:hyperlink r:id="rId12" w:history="1">
              <w:r w:rsidRPr="0047109F">
                <w:rPr>
                  <w:rFonts w:ascii="Verdana" w:hAnsi="Verdana"/>
                  <w:color w:val="000066"/>
                  <w:sz w:val="18"/>
                </w:rPr>
                <w:t>Article VII. Revenue and Finance; Section 10.4</w:t>
              </w:r>
            </w:hyperlink>
            <w:r w:rsidRPr="0047109F">
              <w:rPr>
                <w:rFonts w:ascii="Verdana" w:hAnsi="Verdana"/>
                <w:color w:val="000000"/>
                <w:sz w:val="18"/>
                <w:szCs w:val="18"/>
              </w:rPr>
              <w:t xml:space="preserve">, Higher Education </w:t>
            </w:r>
            <w:smartTag w:uri="urn:schemas-microsoft-com:office:smarttags" w:element="State">
              <w:smartTag w:uri="urn:schemas-microsoft-com:office:smarttags" w:element="place">
                <w:r w:rsidRPr="0047109F">
                  <w:rPr>
                    <w:rFonts w:ascii="Verdana" w:hAnsi="Verdana"/>
                    <w:color w:val="000000"/>
                    <w:sz w:val="18"/>
                    <w:szCs w:val="18"/>
                  </w:rPr>
                  <w:t>Louisiana</w:t>
                </w:r>
              </w:smartTag>
            </w:smartTag>
            <w:r w:rsidRPr="0047109F">
              <w:rPr>
                <w:rFonts w:ascii="Verdana" w:hAnsi="Verdana"/>
                <w:color w:val="000000"/>
                <w:sz w:val="18"/>
                <w:szCs w:val="18"/>
              </w:rPr>
              <w:t xml:space="preserve"> Partnership Fund; Program</w:t>
            </w:r>
          </w:p>
        </w:tc>
      </w:tr>
    </w:tbl>
    <w:p w:rsidR="0047109F" w:rsidRDefault="0047109F">
      <w:pPr>
        <w:rPr>
          <w:rFonts w:ascii="Verdana" w:hAnsi="Verdana"/>
          <w:color w:val="000000"/>
          <w:sz w:val="18"/>
          <w:szCs w:val="18"/>
        </w:rPr>
      </w:pPr>
      <w:r w:rsidRPr="0047109F">
        <w:rPr>
          <w:rFonts w:ascii="Verdana" w:hAnsi="Verdana"/>
          <w:color w:val="000000"/>
          <w:sz w:val="18"/>
          <w:szCs w:val="18"/>
        </w:rPr>
        <w:t> </w:t>
      </w:r>
    </w:p>
    <w:p w:rsidR="004A056F" w:rsidRDefault="004A056F">
      <w:pPr>
        <w:rPr>
          <w:rFonts w:ascii="Verdana" w:hAnsi="Verdana"/>
          <w:color w:val="000000"/>
          <w:sz w:val="18"/>
          <w:szCs w:val="18"/>
        </w:rPr>
      </w:pPr>
    </w:p>
    <w:p w:rsidR="004A056F" w:rsidRDefault="004A056F">
      <w:pPr>
        <w:rPr>
          <w:rFonts w:ascii="Verdana" w:hAnsi="Verdana"/>
          <w:color w:val="000000"/>
          <w:sz w:val="18"/>
          <w:szCs w:val="18"/>
        </w:rPr>
      </w:pPr>
      <w:r>
        <w:rPr>
          <w:rFonts w:ascii="Verdana" w:hAnsi="Verdana"/>
          <w:color w:val="000000"/>
          <w:sz w:val="18"/>
          <w:szCs w:val="18"/>
        </w:rPr>
        <w:br w:type="page"/>
      </w:r>
    </w:p>
    <w:tbl>
      <w:tblPr>
        <w:tblW w:w="5000" w:type="pct"/>
        <w:tblCellSpacing w:w="0" w:type="dxa"/>
        <w:tblCellMar>
          <w:left w:w="0" w:type="dxa"/>
          <w:right w:w="0" w:type="dxa"/>
        </w:tblCellMar>
        <w:tblLook w:val="0000"/>
      </w:tblPr>
      <w:tblGrid>
        <w:gridCol w:w="4170"/>
        <w:gridCol w:w="2548"/>
        <w:gridCol w:w="2642"/>
      </w:tblGrid>
      <w:tr w:rsidR="004A056F" w:rsidRPr="0047109F" w:rsidTr="004A056F">
        <w:trPr>
          <w:trHeight w:val="2190"/>
          <w:tblCellSpacing w:w="0" w:type="dxa"/>
        </w:trPr>
        <w:tc>
          <w:tcPr>
            <w:tcW w:w="1650" w:type="pct"/>
            <w:tcBorders>
              <w:bottom w:val="single" w:sz="48" w:space="0" w:color="000099"/>
            </w:tcBorders>
            <w:vAlign w:val="center"/>
          </w:tcPr>
          <w:p w:rsidR="004A056F" w:rsidRPr="0047109F" w:rsidRDefault="00E34D6E" w:rsidP="004A056F">
            <w:pPr>
              <w:rPr>
                <w:rFonts w:ascii="Verdana" w:hAnsi="Verdana"/>
                <w:color w:val="000000"/>
                <w:sz w:val="18"/>
                <w:szCs w:val="18"/>
              </w:rPr>
            </w:pPr>
            <w:r>
              <w:rPr>
                <w:rFonts w:ascii="Verdana" w:hAnsi="Verdana"/>
                <w:noProof/>
                <w:color w:val="000066"/>
                <w:sz w:val="18"/>
                <w:szCs w:val="18"/>
              </w:rPr>
              <w:drawing>
                <wp:inline distT="0" distB="0" distL="0" distR="0">
                  <wp:extent cx="2619375" cy="1066800"/>
                  <wp:effectExtent l="19050" t="0" r="9525" b="0"/>
                  <wp:docPr id="9" name="Picture 9" descr="la_bdr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_bdreg"/>
                          <pic:cNvPicPr>
                            <a:picLocks noChangeAspect="1" noChangeArrowheads="1"/>
                          </pic:cNvPicPr>
                        </pic:nvPicPr>
                        <pic:blipFill>
                          <a:blip r:embed="rId6" cstate="print"/>
                          <a:srcRect/>
                          <a:stretch>
                            <a:fillRect/>
                          </a:stretch>
                        </pic:blipFill>
                        <pic:spPr bwMode="auto">
                          <a:xfrm>
                            <a:off x="0" y="0"/>
                            <a:ext cx="2619375" cy="1066800"/>
                          </a:xfrm>
                          <a:prstGeom prst="rect">
                            <a:avLst/>
                          </a:prstGeom>
                          <a:noFill/>
                          <a:ln w="9525">
                            <a:noFill/>
                            <a:miter lim="800000"/>
                            <a:headEnd/>
                            <a:tailEnd/>
                          </a:ln>
                        </pic:spPr>
                      </pic:pic>
                    </a:graphicData>
                  </a:graphic>
                </wp:inline>
              </w:drawing>
            </w:r>
          </w:p>
        </w:tc>
        <w:tc>
          <w:tcPr>
            <w:tcW w:w="1650" w:type="pct"/>
            <w:tcBorders>
              <w:bottom w:val="single" w:sz="48" w:space="0" w:color="000099"/>
            </w:tcBorders>
            <w:vAlign w:val="center"/>
          </w:tcPr>
          <w:p w:rsidR="004A056F" w:rsidRPr="0047109F" w:rsidRDefault="004A056F" w:rsidP="004A056F">
            <w:pPr>
              <w:rPr>
                <w:rFonts w:ascii="Verdana" w:hAnsi="Verdana"/>
                <w:color w:val="000000"/>
                <w:sz w:val="18"/>
                <w:szCs w:val="18"/>
              </w:rPr>
            </w:pPr>
            <w:r w:rsidRPr="0047109F">
              <w:rPr>
                <w:rFonts w:ascii="Verdana" w:hAnsi="Verdana"/>
                <w:color w:val="000000"/>
                <w:sz w:val="18"/>
                <w:szCs w:val="18"/>
              </w:rPr>
              <w:t>    </w:t>
            </w:r>
          </w:p>
        </w:tc>
        <w:tc>
          <w:tcPr>
            <w:tcW w:w="1700" w:type="pct"/>
            <w:tcBorders>
              <w:bottom w:val="single" w:sz="48" w:space="0" w:color="000099"/>
            </w:tcBorders>
            <w:vAlign w:val="center"/>
          </w:tcPr>
          <w:p w:rsidR="004A056F" w:rsidRPr="0047109F" w:rsidRDefault="00E34D6E" w:rsidP="004A056F">
            <w:pPr>
              <w:jc w:val="center"/>
              <w:rPr>
                <w:rFonts w:ascii="Verdana" w:hAnsi="Verdana"/>
                <w:color w:val="000000"/>
                <w:sz w:val="18"/>
                <w:szCs w:val="18"/>
              </w:rPr>
            </w:pPr>
            <w:r>
              <w:rPr>
                <w:rFonts w:ascii="Verdana" w:hAnsi="Verdana"/>
                <w:noProof/>
                <w:color w:val="000000"/>
                <w:sz w:val="18"/>
                <w:szCs w:val="18"/>
              </w:rPr>
              <w:drawing>
                <wp:inline distT="0" distB="0" distL="0" distR="0">
                  <wp:extent cx="1466850" cy="1143000"/>
                  <wp:effectExtent l="19050" t="0" r="0" b="0"/>
                  <wp:docPr id="10" name="Picture 10" descr="RightHeade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ghtHeaderImg"/>
                          <pic:cNvPicPr>
                            <a:picLocks noChangeAspect="1" noChangeArrowheads="1"/>
                          </pic:cNvPicPr>
                        </pic:nvPicPr>
                        <pic:blipFill>
                          <a:blip r:embed="rId7" cstate="print"/>
                          <a:srcRect/>
                          <a:stretch>
                            <a:fillRect/>
                          </a:stretch>
                        </pic:blipFill>
                        <pic:spPr bwMode="auto">
                          <a:xfrm>
                            <a:off x="0" y="0"/>
                            <a:ext cx="1466850" cy="1143000"/>
                          </a:xfrm>
                          <a:prstGeom prst="rect">
                            <a:avLst/>
                          </a:prstGeom>
                          <a:noFill/>
                          <a:ln w="9525">
                            <a:noFill/>
                            <a:miter lim="800000"/>
                            <a:headEnd/>
                            <a:tailEnd/>
                          </a:ln>
                        </pic:spPr>
                      </pic:pic>
                    </a:graphicData>
                  </a:graphic>
                </wp:inline>
              </w:drawing>
            </w:r>
          </w:p>
        </w:tc>
      </w:tr>
    </w:tbl>
    <w:p w:rsidR="004A056F" w:rsidRDefault="004A056F">
      <w:pPr>
        <w:rPr>
          <w:rFonts w:ascii="Verdana" w:hAnsi="Verdana"/>
          <w:color w:val="000000"/>
          <w:sz w:val="18"/>
          <w:szCs w:val="18"/>
        </w:rPr>
      </w:pPr>
    </w:p>
    <w:p w:rsidR="004A056F" w:rsidRDefault="004A056F">
      <w:pPr>
        <w:rPr>
          <w:rFonts w:ascii="Verdana" w:hAnsi="Verdana"/>
          <w:color w:val="000000"/>
          <w:sz w:val="18"/>
          <w:szCs w:val="18"/>
        </w:rPr>
      </w:pP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b/>
          <w:bCs/>
          <w:color w:val="990033"/>
          <w:sz w:val="18"/>
          <w:szCs w:val="18"/>
        </w:rPr>
        <w:t>What Do the Regents' Do?</w:t>
      </w: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t xml:space="preserve">The 1974 Louisiana Constitution authorizes the Board of Regents to plan, coordinate, and have budgetary responsibility for </w:t>
      </w:r>
      <w:smartTag w:uri="urn:schemas-microsoft-com:office:smarttags" w:element="State">
        <w:smartTag w:uri="urn:schemas-microsoft-com:office:smarttags" w:element="place">
          <w:r w:rsidRPr="004A056F">
            <w:rPr>
              <w:rFonts w:ascii="Verdana" w:hAnsi="Verdana"/>
              <w:color w:val="000000"/>
              <w:sz w:val="18"/>
              <w:szCs w:val="18"/>
            </w:rPr>
            <w:t>Louisiana</w:t>
          </w:r>
        </w:smartTag>
      </w:smartTag>
      <w:r w:rsidRPr="004A056F">
        <w:rPr>
          <w:rFonts w:ascii="Verdana" w:hAnsi="Verdana"/>
          <w:color w:val="000000"/>
          <w:sz w:val="18"/>
          <w:szCs w:val="18"/>
        </w:rPr>
        <w:t xml:space="preserve">'s public higher education community, including 19 public colleges, universities, and/or professional schools.  The agency also serves as the state liaison to </w:t>
      </w:r>
      <w:smartTag w:uri="urn:schemas-microsoft-com:office:smarttags" w:element="State">
        <w:smartTag w:uri="urn:schemas-microsoft-com:office:smarttags" w:element="place">
          <w:r w:rsidRPr="004A056F">
            <w:rPr>
              <w:rFonts w:ascii="Verdana" w:hAnsi="Verdana"/>
              <w:color w:val="000000"/>
              <w:sz w:val="18"/>
              <w:szCs w:val="18"/>
            </w:rPr>
            <w:t>Louisiana</w:t>
          </w:r>
        </w:smartTag>
      </w:smartTag>
      <w:r w:rsidRPr="004A056F">
        <w:rPr>
          <w:rFonts w:ascii="Verdana" w:hAnsi="Verdana"/>
          <w:color w:val="000000"/>
          <w:sz w:val="18"/>
          <w:szCs w:val="18"/>
        </w:rPr>
        <w:t>'s accredited, independent institutions of higher learning.</w:t>
      </w: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t xml:space="preserve">The Board of Regents is a policy-making and coordinating board only; it is not directly involved in overseeing the day-to-day operations of the various college campuses.  The 1974 Constitution reserves that responsibility for the state's four higher education management boards:  the </w:t>
      </w:r>
      <w:hyperlink r:id="rId13" w:history="1">
        <w:r w:rsidRPr="004A056F">
          <w:rPr>
            <w:rFonts w:ascii="Verdana" w:hAnsi="Verdana"/>
            <w:color w:val="000066"/>
            <w:sz w:val="18"/>
          </w:rPr>
          <w:t>LSU Board of Supervisors</w:t>
        </w:r>
      </w:hyperlink>
      <w:r w:rsidRPr="004A056F">
        <w:rPr>
          <w:rFonts w:ascii="Verdana" w:hAnsi="Verdana"/>
          <w:color w:val="000000"/>
          <w:sz w:val="18"/>
          <w:szCs w:val="18"/>
        </w:rPr>
        <w:t xml:space="preserve">, the </w:t>
      </w:r>
      <w:hyperlink r:id="rId14" w:history="1">
        <w:r w:rsidRPr="004A056F">
          <w:rPr>
            <w:rFonts w:ascii="Verdana" w:hAnsi="Verdana"/>
            <w:color w:val="000066"/>
            <w:sz w:val="18"/>
          </w:rPr>
          <w:t>Southern University Board of Supervisors</w:t>
        </w:r>
      </w:hyperlink>
      <w:r w:rsidRPr="004A056F">
        <w:rPr>
          <w:rFonts w:ascii="Verdana" w:hAnsi="Verdana"/>
          <w:color w:val="000000"/>
          <w:sz w:val="18"/>
          <w:szCs w:val="18"/>
        </w:rPr>
        <w:t xml:space="preserve">, </w:t>
      </w:r>
      <w:hyperlink r:id="rId15" w:history="1">
        <w:r w:rsidRPr="004A056F">
          <w:rPr>
            <w:rFonts w:ascii="Verdana" w:hAnsi="Verdana"/>
            <w:color w:val="000066"/>
            <w:sz w:val="18"/>
          </w:rPr>
          <w:t>the University of Louisiana System Board</w:t>
        </w:r>
      </w:hyperlink>
      <w:r w:rsidRPr="004A056F">
        <w:rPr>
          <w:rFonts w:ascii="Verdana" w:hAnsi="Verdana"/>
          <w:color w:val="000000"/>
          <w:sz w:val="18"/>
          <w:szCs w:val="18"/>
        </w:rPr>
        <w:t xml:space="preserve">, and the </w:t>
      </w:r>
      <w:hyperlink r:id="rId16" w:history="1">
        <w:r w:rsidRPr="004A056F">
          <w:rPr>
            <w:rFonts w:ascii="Verdana" w:hAnsi="Verdana"/>
            <w:color w:val="000066"/>
            <w:sz w:val="18"/>
          </w:rPr>
          <w:t>Louisiana Community and Technical College Board.</w:t>
        </w:r>
      </w:hyperlink>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b/>
          <w:bCs/>
          <w:color w:val="990033"/>
          <w:sz w:val="18"/>
          <w:szCs w:val="18"/>
        </w:rPr>
        <w:t>Coordination and Management</w:t>
      </w: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t>The responsibilities of the Board of Regents and those of the four management boards are carefully drawn to ensure a balance and distinction between coordinating, planning and policy-making and management implementation.  The 1974 Louisiana Constitution gives the Board of Regents the following authority:</w:t>
      </w:r>
    </w:p>
    <w:tbl>
      <w:tblPr>
        <w:tblW w:w="5000" w:type="pct"/>
        <w:tblCellSpacing w:w="0" w:type="dxa"/>
        <w:tblCellMar>
          <w:left w:w="0" w:type="dxa"/>
          <w:right w:w="0" w:type="dxa"/>
        </w:tblCellMar>
        <w:tblLook w:val="0000"/>
      </w:tblPr>
      <w:tblGrid>
        <w:gridCol w:w="210"/>
        <w:gridCol w:w="9150"/>
      </w:tblGrid>
      <w:tr w:rsidR="004A056F" w:rsidRPr="004A056F">
        <w:trPr>
          <w:tblCellSpacing w:w="0" w:type="dxa"/>
        </w:trPr>
        <w:tc>
          <w:tcPr>
            <w:tcW w:w="630" w:type="dxa"/>
          </w:tcPr>
          <w:p w:rsidR="004A056F" w:rsidRPr="004A056F" w:rsidRDefault="00E34D6E" w:rsidP="004A056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11" name="Picture 11" descr="redb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ball3"/>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A056F" w:rsidRPr="004A056F" w:rsidRDefault="004A056F" w:rsidP="004A056F">
            <w:pPr>
              <w:rPr>
                <w:rFonts w:ascii="Verdana" w:hAnsi="Verdana"/>
                <w:color w:val="000000"/>
                <w:sz w:val="18"/>
                <w:szCs w:val="18"/>
              </w:rPr>
            </w:pPr>
            <w:r w:rsidRPr="004A056F">
              <w:rPr>
                <w:rFonts w:ascii="Verdana" w:hAnsi="Verdana"/>
                <w:i/>
                <w:iCs/>
                <w:color w:val="000000"/>
                <w:sz w:val="18"/>
                <w:szCs w:val="18"/>
              </w:rPr>
              <w:t>To review or eliminate</w:t>
            </w:r>
            <w:r w:rsidRPr="004A056F">
              <w:rPr>
                <w:rFonts w:ascii="Verdana" w:hAnsi="Verdana"/>
                <w:color w:val="000000"/>
                <w:sz w:val="18"/>
                <w:szCs w:val="18"/>
              </w:rPr>
              <w:t xml:space="preserve"> existing degree programs or departments;</w:t>
            </w:r>
          </w:p>
        </w:tc>
      </w:tr>
      <w:tr w:rsidR="004A056F" w:rsidRPr="004A056F">
        <w:trPr>
          <w:tblCellSpacing w:w="0" w:type="dxa"/>
        </w:trPr>
        <w:tc>
          <w:tcPr>
            <w:tcW w:w="630" w:type="dxa"/>
          </w:tcPr>
          <w:p w:rsidR="004A056F" w:rsidRPr="004A056F" w:rsidRDefault="00E34D6E" w:rsidP="004A056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12" name="Picture 12" descr="redb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ball3"/>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A056F" w:rsidRPr="004A056F" w:rsidRDefault="004A056F" w:rsidP="004A056F">
            <w:pPr>
              <w:rPr>
                <w:rFonts w:ascii="Verdana" w:hAnsi="Verdana"/>
                <w:color w:val="000000"/>
                <w:sz w:val="18"/>
                <w:szCs w:val="18"/>
              </w:rPr>
            </w:pPr>
            <w:r w:rsidRPr="004A056F">
              <w:rPr>
                <w:rFonts w:ascii="Verdana" w:hAnsi="Verdana"/>
                <w:i/>
                <w:iCs/>
                <w:color w:val="000000"/>
                <w:sz w:val="18"/>
                <w:szCs w:val="18"/>
              </w:rPr>
              <w:t>To approve, disapprove,</w:t>
            </w:r>
            <w:r w:rsidRPr="004A056F">
              <w:rPr>
                <w:rFonts w:ascii="Verdana" w:hAnsi="Verdana"/>
                <w:color w:val="000000"/>
                <w:sz w:val="18"/>
                <w:szCs w:val="18"/>
              </w:rPr>
              <w:t xml:space="preserve"> or modify proposed academic programs or departments;</w:t>
            </w:r>
          </w:p>
        </w:tc>
      </w:tr>
      <w:tr w:rsidR="004A056F" w:rsidRPr="004A056F">
        <w:trPr>
          <w:tblCellSpacing w:w="0" w:type="dxa"/>
        </w:trPr>
        <w:tc>
          <w:tcPr>
            <w:tcW w:w="630" w:type="dxa"/>
          </w:tcPr>
          <w:p w:rsidR="004A056F" w:rsidRPr="004A056F" w:rsidRDefault="00E34D6E" w:rsidP="004A056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13" name="Picture 13" descr="redb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dball3"/>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A056F" w:rsidRPr="004A056F" w:rsidRDefault="004A056F" w:rsidP="004A056F">
            <w:pPr>
              <w:rPr>
                <w:rFonts w:ascii="Verdana" w:hAnsi="Verdana"/>
                <w:color w:val="000000"/>
                <w:sz w:val="18"/>
                <w:szCs w:val="18"/>
              </w:rPr>
            </w:pPr>
            <w:r w:rsidRPr="004A056F">
              <w:rPr>
                <w:rFonts w:ascii="Verdana" w:hAnsi="Verdana"/>
                <w:i/>
                <w:iCs/>
                <w:color w:val="000000"/>
                <w:sz w:val="18"/>
                <w:szCs w:val="18"/>
              </w:rPr>
              <w:t>To study both the need for</w:t>
            </w:r>
            <w:r w:rsidRPr="004A056F">
              <w:rPr>
                <w:rFonts w:ascii="Verdana" w:hAnsi="Verdana"/>
                <w:color w:val="000000"/>
                <w:sz w:val="18"/>
                <w:szCs w:val="18"/>
              </w:rPr>
              <w:t xml:space="preserve"> and feasibility of new postsecondary institutions as well as the conversion of existing schools into campuses offering more advanced courses of study;</w:t>
            </w:r>
          </w:p>
        </w:tc>
      </w:tr>
      <w:tr w:rsidR="004A056F" w:rsidRPr="004A056F">
        <w:trPr>
          <w:tblCellSpacing w:w="0" w:type="dxa"/>
        </w:trPr>
        <w:tc>
          <w:tcPr>
            <w:tcW w:w="630" w:type="dxa"/>
          </w:tcPr>
          <w:p w:rsidR="004A056F" w:rsidRPr="004A056F" w:rsidRDefault="00E34D6E" w:rsidP="004A056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14" name="Picture 14" descr="redb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dball3"/>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A056F" w:rsidRPr="004A056F" w:rsidRDefault="004A056F" w:rsidP="004A056F">
            <w:pPr>
              <w:rPr>
                <w:rFonts w:ascii="Verdana" w:hAnsi="Verdana"/>
                <w:color w:val="000000"/>
                <w:sz w:val="18"/>
                <w:szCs w:val="18"/>
              </w:rPr>
            </w:pPr>
            <w:r w:rsidRPr="004A056F">
              <w:rPr>
                <w:rFonts w:ascii="Verdana" w:hAnsi="Verdana"/>
                <w:i/>
                <w:iCs/>
                <w:color w:val="000000"/>
                <w:sz w:val="18"/>
                <w:szCs w:val="18"/>
              </w:rPr>
              <w:t>To formulate and update</w:t>
            </w:r>
            <w:r w:rsidRPr="004A056F">
              <w:rPr>
                <w:rFonts w:ascii="Verdana" w:hAnsi="Verdana"/>
                <w:color w:val="000000"/>
                <w:sz w:val="18"/>
                <w:szCs w:val="18"/>
              </w:rPr>
              <w:t xml:space="preserve"> a master plan for higher education (which must include a higher education funding formula); and</w:t>
            </w:r>
          </w:p>
        </w:tc>
      </w:tr>
      <w:tr w:rsidR="004A056F" w:rsidRPr="004A056F">
        <w:trPr>
          <w:tblCellSpacing w:w="0" w:type="dxa"/>
        </w:trPr>
        <w:tc>
          <w:tcPr>
            <w:tcW w:w="630" w:type="dxa"/>
          </w:tcPr>
          <w:p w:rsidR="004A056F" w:rsidRPr="004A056F" w:rsidRDefault="00E34D6E" w:rsidP="004A056F">
            <w:pPr>
              <w:rPr>
                <w:rFonts w:ascii="Verdana" w:hAnsi="Verdana"/>
                <w:color w:val="000000"/>
                <w:sz w:val="18"/>
                <w:szCs w:val="18"/>
              </w:rPr>
            </w:pPr>
            <w:r>
              <w:rPr>
                <w:rFonts w:ascii="Verdana" w:hAnsi="Verdana"/>
                <w:noProof/>
                <w:color w:val="000000"/>
                <w:sz w:val="18"/>
                <w:szCs w:val="18"/>
              </w:rPr>
              <w:drawing>
                <wp:inline distT="0" distB="0" distL="0" distR="0">
                  <wp:extent cx="133350" cy="133350"/>
                  <wp:effectExtent l="0" t="0" r="0" b="0"/>
                  <wp:docPr id="15" name="Picture 15" descr="redba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ball3"/>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000" w:type="pct"/>
          </w:tcPr>
          <w:p w:rsidR="004A056F" w:rsidRPr="004A056F" w:rsidRDefault="004A056F" w:rsidP="004A056F">
            <w:pPr>
              <w:rPr>
                <w:rFonts w:ascii="Verdana" w:hAnsi="Verdana"/>
                <w:color w:val="000000"/>
                <w:sz w:val="18"/>
                <w:szCs w:val="18"/>
              </w:rPr>
            </w:pPr>
            <w:r w:rsidRPr="004A056F">
              <w:rPr>
                <w:rFonts w:ascii="Verdana" w:hAnsi="Verdana"/>
                <w:i/>
                <w:iCs/>
                <w:color w:val="000000"/>
                <w:sz w:val="18"/>
                <w:szCs w:val="18"/>
              </w:rPr>
              <w:t>To review annual budget</w:t>
            </w:r>
            <w:r w:rsidRPr="004A056F">
              <w:rPr>
                <w:rFonts w:ascii="Verdana" w:hAnsi="Verdana"/>
                <w:color w:val="000000"/>
                <w:sz w:val="18"/>
                <w:szCs w:val="18"/>
              </w:rPr>
              <w:t xml:space="preserve"> proposals for the operating and capital needs of each public institution prior to compilation of the Regents' higher education budget recommendations.  The Board also recommends priorities for capital construction and improvements.</w:t>
            </w:r>
          </w:p>
        </w:tc>
      </w:tr>
    </w:tbl>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t xml:space="preserve">The Constitution provides that all duties and responsibilities not specifically vested in the Board of Regents be assigned to the respective management boards.  This carefully drawn division of responsibility enables the Board of Regents to chart general academic and fiscal directions for higher education in </w:t>
      </w:r>
      <w:smartTag w:uri="urn:schemas-microsoft-com:office:smarttags" w:element="State">
        <w:smartTag w:uri="urn:schemas-microsoft-com:office:smarttags" w:element="place">
          <w:r w:rsidRPr="004A056F">
            <w:rPr>
              <w:rFonts w:ascii="Verdana" w:hAnsi="Verdana"/>
              <w:color w:val="000000"/>
              <w:sz w:val="18"/>
              <w:szCs w:val="18"/>
            </w:rPr>
            <w:t>Louisiana</w:t>
          </w:r>
        </w:smartTag>
      </w:smartTag>
      <w:r w:rsidRPr="004A056F">
        <w:rPr>
          <w:rFonts w:ascii="Verdana" w:hAnsi="Verdana"/>
          <w:color w:val="000000"/>
          <w:sz w:val="18"/>
          <w:szCs w:val="18"/>
        </w:rPr>
        <w:t xml:space="preserve"> without becoming unnecessarily entangled in the day-to-day mechanics of operating college campuses.</w:t>
      </w: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t>Thus, in practice, the Board of Regents' determines what academic programs an institution may offer and assesses the quality and need for those programs, but the management boards oversee instructional operations; the Regents administer the funding formula and set down guidelines for preparing campus budgets, but the management boards have the responsibility of preparing and administering those budgets; the Regents set tenure standards which the university systems must meet or exceed, but only the management boards may approve campus personnel actions.</w:t>
      </w:r>
    </w:p>
    <w:p w:rsidR="004A056F" w:rsidRPr="004A056F" w:rsidRDefault="004A056F" w:rsidP="004A056F">
      <w:pPr>
        <w:spacing w:before="100" w:beforeAutospacing="1" w:after="100" w:afterAutospacing="1"/>
        <w:rPr>
          <w:rFonts w:ascii="Verdana" w:hAnsi="Verdana"/>
          <w:color w:val="000000"/>
          <w:sz w:val="18"/>
          <w:szCs w:val="18"/>
        </w:rPr>
      </w:pPr>
      <w:r w:rsidRPr="004A056F">
        <w:rPr>
          <w:rFonts w:ascii="Verdana" w:hAnsi="Verdana"/>
          <w:color w:val="000000"/>
          <w:sz w:val="18"/>
          <w:szCs w:val="18"/>
        </w:rPr>
        <w:lastRenderedPageBreak/>
        <w:t>The Board of Regents is responsible for a wide range of planning, policy-making, and coordinating activities, touching on every aspect of higher education operations.  To facilitate the handling of this broad spectrum of activities, the agency is organized into divisions--</w:t>
      </w:r>
      <w:hyperlink r:id="rId17" w:history="1">
        <w:r w:rsidRPr="004A056F">
          <w:rPr>
            <w:rFonts w:ascii="Verdana" w:hAnsi="Verdana"/>
            <w:color w:val="000066"/>
            <w:sz w:val="18"/>
          </w:rPr>
          <w:t>Planning, Research and Performance</w:t>
        </w:r>
      </w:hyperlink>
      <w:r w:rsidRPr="004A056F">
        <w:rPr>
          <w:rFonts w:ascii="Verdana" w:hAnsi="Verdana"/>
          <w:color w:val="000000"/>
          <w:sz w:val="18"/>
          <w:szCs w:val="18"/>
        </w:rPr>
        <w:t xml:space="preserve">, </w:t>
      </w:r>
      <w:hyperlink r:id="rId18" w:history="1">
        <w:r w:rsidRPr="004A056F">
          <w:rPr>
            <w:rFonts w:ascii="Verdana" w:hAnsi="Verdana"/>
            <w:color w:val="000066"/>
            <w:sz w:val="18"/>
          </w:rPr>
          <w:t>Academic and Student Affairs</w:t>
        </w:r>
      </w:hyperlink>
      <w:r w:rsidRPr="004A056F">
        <w:rPr>
          <w:rFonts w:ascii="Verdana" w:hAnsi="Verdana"/>
          <w:color w:val="000000"/>
          <w:sz w:val="18"/>
          <w:szCs w:val="18"/>
        </w:rPr>
        <w:t xml:space="preserve">, </w:t>
      </w:r>
      <w:hyperlink r:id="rId19" w:history="1">
        <w:r w:rsidRPr="004A056F">
          <w:rPr>
            <w:rFonts w:ascii="Verdana" w:hAnsi="Verdana"/>
            <w:color w:val="000066"/>
            <w:sz w:val="18"/>
          </w:rPr>
          <w:t>Finance</w:t>
        </w:r>
      </w:hyperlink>
      <w:r w:rsidRPr="004A056F">
        <w:rPr>
          <w:rFonts w:ascii="Verdana" w:hAnsi="Verdana"/>
          <w:color w:val="000000"/>
          <w:sz w:val="18"/>
          <w:szCs w:val="18"/>
        </w:rPr>
        <w:t xml:space="preserve">, and </w:t>
      </w:r>
      <w:hyperlink r:id="rId20" w:history="1">
        <w:r w:rsidRPr="004A056F">
          <w:rPr>
            <w:rFonts w:ascii="Verdana" w:hAnsi="Verdana"/>
            <w:color w:val="000066"/>
            <w:sz w:val="18"/>
          </w:rPr>
          <w:t>Public Affairs</w:t>
        </w:r>
      </w:hyperlink>
      <w:r w:rsidRPr="004A056F">
        <w:rPr>
          <w:rFonts w:ascii="Verdana" w:hAnsi="Verdana"/>
          <w:color w:val="000000"/>
          <w:sz w:val="18"/>
          <w:szCs w:val="18"/>
        </w:rPr>
        <w:t>.</w:t>
      </w:r>
    </w:p>
    <w:p w:rsidR="004A056F" w:rsidRDefault="004A056F" w:rsidP="004A056F">
      <w:pPr>
        <w:rPr>
          <w:rFonts w:ascii="Verdana" w:hAnsi="Verdana"/>
          <w:color w:val="000000"/>
          <w:sz w:val="18"/>
          <w:szCs w:val="18"/>
        </w:rPr>
      </w:pPr>
      <w:r w:rsidRPr="004A056F">
        <w:rPr>
          <w:rFonts w:ascii="Verdana" w:hAnsi="Verdana"/>
          <w:color w:val="000000"/>
          <w:sz w:val="18"/>
          <w:szCs w:val="18"/>
        </w:rPr>
        <w:t> </w:t>
      </w:r>
    </w:p>
    <w:p w:rsidR="004A056F" w:rsidRPr="00D2608F" w:rsidRDefault="004A056F" w:rsidP="002F214F">
      <w:pPr>
        <w:jc w:val="center"/>
        <w:rPr>
          <w:b/>
          <w:color w:val="000000"/>
          <w:sz w:val="28"/>
          <w:szCs w:val="28"/>
        </w:rPr>
      </w:pPr>
      <w:r>
        <w:rPr>
          <w:rFonts w:ascii="Verdana" w:hAnsi="Verdana"/>
          <w:color w:val="000000"/>
          <w:sz w:val="18"/>
          <w:szCs w:val="18"/>
        </w:rPr>
        <w:br w:type="page"/>
      </w:r>
      <w:r w:rsidR="002F214F" w:rsidRPr="00D2608F">
        <w:rPr>
          <w:b/>
          <w:color w:val="000000"/>
          <w:sz w:val="28"/>
          <w:szCs w:val="28"/>
        </w:rPr>
        <w:lastRenderedPageBreak/>
        <w:t>SPONSORED PROGRAMS DIVISION</w:t>
      </w:r>
    </w:p>
    <w:p w:rsidR="002F214F" w:rsidRPr="00D2608F" w:rsidRDefault="002F214F" w:rsidP="002F214F">
      <w:pPr>
        <w:jc w:val="center"/>
        <w:rPr>
          <w:b/>
          <w:color w:val="000000"/>
          <w:sz w:val="28"/>
          <w:szCs w:val="28"/>
        </w:rPr>
      </w:pPr>
      <w:r w:rsidRPr="00D2608F">
        <w:rPr>
          <w:b/>
          <w:color w:val="000000"/>
          <w:sz w:val="28"/>
          <w:szCs w:val="28"/>
        </w:rPr>
        <w:t>of the</w:t>
      </w:r>
    </w:p>
    <w:p w:rsidR="002F214F" w:rsidRPr="00D2608F" w:rsidRDefault="002F214F" w:rsidP="002F214F">
      <w:pPr>
        <w:jc w:val="center"/>
        <w:rPr>
          <w:b/>
          <w:sz w:val="28"/>
          <w:szCs w:val="28"/>
        </w:rPr>
      </w:pPr>
      <w:r w:rsidRPr="00D2608F">
        <w:rPr>
          <w:b/>
          <w:sz w:val="28"/>
          <w:szCs w:val="28"/>
        </w:rPr>
        <w:t>BOARD OF REGENTS</w:t>
      </w:r>
    </w:p>
    <w:p w:rsidR="002F214F" w:rsidRDefault="002F214F" w:rsidP="002F214F">
      <w:pPr>
        <w:jc w:val="center"/>
      </w:pPr>
    </w:p>
    <w:p w:rsidR="002F214F" w:rsidRDefault="002F214F" w:rsidP="002F214F">
      <w:pPr>
        <w:jc w:val="center"/>
      </w:pPr>
      <w:smartTag w:uri="urn:schemas-microsoft-com:office:smarttags" w:element="address">
        <w:smartTag w:uri="urn:schemas-microsoft-com:office:smarttags" w:element="Street">
          <w:r>
            <w:t>1201 North Third Street, Suite 6</w:t>
          </w:r>
        </w:smartTag>
        <w:r>
          <w:t>-</w:t>
        </w:r>
      </w:smartTag>
      <w:r>
        <w:t>200</w:t>
      </w:r>
    </w:p>
    <w:p w:rsidR="002F214F" w:rsidRDefault="002F214F" w:rsidP="002F214F">
      <w:pPr>
        <w:jc w:val="center"/>
      </w:pPr>
      <w:smartTag w:uri="urn:schemas-microsoft-com:office:smarttags" w:element="place">
        <w:smartTag w:uri="urn:schemas-microsoft-com:office:smarttags" w:element="City">
          <w:r>
            <w:t>Baton Rouge</w:t>
          </w:r>
        </w:smartTag>
        <w:r>
          <w:t xml:space="preserve">, </w:t>
        </w:r>
        <w:smartTag w:uri="urn:schemas-microsoft-com:office:smarttags" w:element="State">
          <w:r>
            <w:t>Louisiana</w:t>
          </w:r>
        </w:smartTag>
        <w:r>
          <w:t xml:space="preserve"> </w:t>
        </w:r>
        <w:smartTag w:uri="urn:schemas-microsoft-com:office:smarttags" w:element="PostalCode">
          <w:r>
            <w:t>70802</w:t>
          </w:r>
        </w:smartTag>
      </w:smartTag>
    </w:p>
    <w:p w:rsidR="002F214F" w:rsidRDefault="002F214F" w:rsidP="002F214F">
      <w:pPr>
        <w:jc w:val="center"/>
      </w:pPr>
    </w:p>
    <w:p w:rsidR="002F214F" w:rsidRDefault="002F214F" w:rsidP="002F214F">
      <w:pPr>
        <w:jc w:val="center"/>
      </w:pPr>
      <w:r w:rsidRPr="002F214F">
        <w:rPr>
          <w:u w:val="single"/>
        </w:rPr>
        <w:t>Mailing Address</w:t>
      </w:r>
      <w:r>
        <w:t xml:space="preserve">:  </w:t>
      </w:r>
      <w:smartTag w:uri="urn:schemas-microsoft-com:office:smarttags" w:element="address">
        <w:smartTag w:uri="urn:schemas-microsoft-com:office:smarttags" w:element="Street">
          <w:r>
            <w:t>PO Box</w:t>
          </w:r>
        </w:smartTag>
        <w:r>
          <w:t xml:space="preserve"> 3677</w:t>
        </w:r>
      </w:smartTag>
    </w:p>
    <w:p w:rsidR="002F214F" w:rsidRDefault="002F214F" w:rsidP="002F214F">
      <w:pPr>
        <w:jc w:val="center"/>
      </w:pPr>
      <w:smartTag w:uri="urn:schemas-microsoft-com:office:smarttags" w:element="place">
        <w:smartTag w:uri="urn:schemas-microsoft-com:office:smarttags" w:element="City">
          <w:r>
            <w:t>Baton Rouge</w:t>
          </w:r>
        </w:smartTag>
        <w:r>
          <w:t xml:space="preserve">, </w:t>
        </w:r>
        <w:smartTag w:uri="urn:schemas-microsoft-com:office:smarttags" w:element="State">
          <w:r>
            <w:t>Louisiana</w:t>
          </w:r>
        </w:smartTag>
        <w:r>
          <w:t xml:space="preserve"> </w:t>
        </w:r>
        <w:smartTag w:uri="urn:schemas-microsoft-com:office:smarttags" w:element="PostalCode">
          <w:r>
            <w:t>70821-3677</w:t>
          </w:r>
        </w:smartTag>
      </w:smartTag>
    </w:p>
    <w:p w:rsidR="002F214F" w:rsidRDefault="002F214F" w:rsidP="002F214F">
      <w:pPr>
        <w:jc w:val="center"/>
      </w:pPr>
    </w:p>
    <w:p w:rsidR="002F214F" w:rsidRDefault="002F214F" w:rsidP="002F214F">
      <w:pPr>
        <w:jc w:val="center"/>
      </w:pPr>
      <w:r>
        <w:t>Telephone: (225) 342.4253</w:t>
      </w:r>
    </w:p>
    <w:p w:rsidR="002F214F" w:rsidRDefault="002F214F" w:rsidP="002F214F">
      <w:pPr>
        <w:jc w:val="center"/>
      </w:pPr>
      <w:r>
        <w:t>FAX: (225) 342.3371</w:t>
      </w:r>
    </w:p>
    <w:p w:rsidR="002F214F" w:rsidRDefault="002F214F" w:rsidP="002F214F">
      <w:pPr>
        <w:jc w:val="center"/>
      </w:pPr>
    </w:p>
    <w:p w:rsidR="002F214F" w:rsidRPr="005F5264" w:rsidRDefault="005F5264" w:rsidP="002F214F">
      <w:pPr>
        <w:rPr>
          <w:b/>
          <w:u w:val="single"/>
        </w:rPr>
      </w:pPr>
      <w:r w:rsidRPr="005F5264">
        <w:rPr>
          <w:b/>
          <w:u w:val="single"/>
        </w:rPr>
        <w:t>PROFESSIONAL STAFF:</w:t>
      </w:r>
    </w:p>
    <w:p w:rsidR="005F5264" w:rsidRDefault="005F5264" w:rsidP="002F214F"/>
    <w:p w:rsidR="005F5264" w:rsidRDefault="005F5264" w:rsidP="002F214F">
      <w:pPr>
        <w:rPr>
          <w:b/>
        </w:rPr>
      </w:pPr>
      <w:r>
        <w:rPr>
          <w:b/>
        </w:rPr>
        <w:t>Dr. Kerry Davidson</w:t>
      </w:r>
      <w:r>
        <w:rPr>
          <w:b/>
        </w:rPr>
        <w:tab/>
      </w:r>
      <w:r>
        <w:rPr>
          <w:b/>
        </w:rPr>
        <w:tab/>
      </w:r>
      <w:r w:rsidRPr="005F5264">
        <w:t>Deputy Commissioner for Sponsored Programs</w:t>
      </w:r>
    </w:p>
    <w:p w:rsidR="005F5264" w:rsidRPr="005F5264" w:rsidRDefault="005F5264" w:rsidP="002F214F">
      <w:r>
        <w:rPr>
          <w:b/>
        </w:rPr>
        <w:t>M</w:t>
      </w:r>
      <w:r w:rsidR="00B5799F">
        <w:rPr>
          <w:b/>
        </w:rPr>
        <w:t>s</w:t>
      </w:r>
      <w:r>
        <w:rPr>
          <w:b/>
        </w:rPr>
        <w:t xml:space="preserve">. </w:t>
      </w:r>
      <w:r w:rsidR="00301571">
        <w:rPr>
          <w:b/>
        </w:rPr>
        <w:t>Carrie Robison</w:t>
      </w:r>
      <w:r>
        <w:rPr>
          <w:b/>
        </w:rPr>
        <w:tab/>
      </w:r>
      <w:r>
        <w:rPr>
          <w:b/>
        </w:rPr>
        <w:tab/>
      </w:r>
      <w:r w:rsidRPr="005F5264">
        <w:t>Associate Commissioner for Sponsored Programs Administration</w:t>
      </w:r>
    </w:p>
    <w:p w:rsidR="005F5264" w:rsidRPr="00D2608F" w:rsidRDefault="005F5264" w:rsidP="002F214F">
      <w:pPr>
        <w:rPr>
          <w:color w:val="0000FF"/>
        </w:rPr>
      </w:pPr>
      <w:r w:rsidRPr="00D2608F">
        <w:rPr>
          <w:b/>
          <w:color w:val="0000FF"/>
        </w:rPr>
        <w:t xml:space="preserve">Dr. </w:t>
      </w:r>
      <w:smartTag w:uri="urn:schemas-microsoft-com:office:smarttags" w:element="PersonName">
        <w:r w:rsidRPr="00D2608F">
          <w:rPr>
            <w:b/>
            <w:color w:val="0000FF"/>
          </w:rPr>
          <w:t>Michael Khonsari</w:t>
        </w:r>
      </w:smartTag>
      <w:r w:rsidRPr="00D2608F">
        <w:rPr>
          <w:b/>
          <w:color w:val="0000FF"/>
        </w:rPr>
        <w:tab/>
      </w:r>
      <w:r w:rsidRPr="00D2608F">
        <w:rPr>
          <w:color w:val="0000FF"/>
        </w:rPr>
        <w:t>Associate Commissioner for Sponsored Programs Research and</w:t>
      </w:r>
    </w:p>
    <w:p w:rsidR="005F5264" w:rsidRPr="00D2608F" w:rsidRDefault="005F5264" w:rsidP="002F214F">
      <w:pPr>
        <w:rPr>
          <w:color w:val="0000FF"/>
        </w:rPr>
      </w:pPr>
      <w:r w:rsidRPr="00D2608F">
        <w:rPr>
          <w:color w:val="0000FF"/>
        </w:rPr>
        <w:tab/>
      </w:r>
      <w:r w:rsidRPr="00D2608F">
        <w:rPr>
          <w:color w:val="0000FF"/>
        </w:rPr>
        <w:tab/>
      </w:r>
      <w:r w:rsidRPr="00D2608F">
        <w:rPr>
          <w:color w:val="0000FF"/>
        </w:rPr>
        <w:tab/>
      </w:r>
      <w:r w:rsidRPr="00D2608F">
        <w:rPr>
          <w:color w:val="0000FF"/>
        </w:rPr>
        <w:tab/>
        <w:t xml:space="preserve">   Development and EPSCoR Project Director</w:t>
      </w:r>
    </w:p>
    <w:p w:rsidR="005643AF" w:rsidRDefault="005643AF" w:rsidP="005643AF">
      <w:pPr>
        <w:pStyle w:val="Hyperlink"/>
      </w:pPr>
      <w:r w:rsidRPr="005643AF">
        <w:t>Ms. Christine Coulon</w:t>
      </w:r>
      <w:r>
        <w:tab/>
      </w:r>
      <w:r>
        <w:tab/>
      </w:r>
      <w:r w:rsidRPr="005643AF">
        <w:t>Manager of Grants and Contracts</w:t>
      </w:r>
    </w:p>
    <w:p w:rsidR="004A314F" w:rsidRPr="004A314F" w:rsidRDefault="004A314F" w:rsidP="005643AF">
      <w:pPr>
        <w:pStyle w:val="Hyperlink"/>
        <w:rPr>
          <w:color w:val="0000FF"/>
        </w:rPr>
      </w:pPr>
      <w:r w:rsidRPr="004A314F">
        <w:rPr>
          <w:color w:val="0000FF"/>
        </w:rPr>
        <w:t>Ms. Jessica Domingue</w:t>
      </w:r>
      <w:r w:rsidRPr="004A314F">
        <w:rPr>
          <w:color w:val="0000FF"/>
        </w:rPr>
        <w:tab/>
      </w:r>
      <w:r>
        <w:rPr>
          <w:color w:val="0000FF"/>
        </w:rPr>
        <w:t xml:space="preserve">EPSCoR </w:t>
      </w:r>
      <w:r w:rsidRPr="004A314F">
        <w:rPr>
          <w:color w:val="0000FF"/>
        </w:rPr>
        <w:t>Program Associate</w:t>
      </w:r>
    </w:p>
    <w:p w:rsidR="005643AF" w:rsidRDefault="005643AF" w:rsidP="005643AF">
      <w:pPr>
        <w:pStyle w:val="Hyperlink"/>
      </w:pPr>
      <w:r>
        <w:t>Mr. Shannon Domingue</w:t>
      </w:r>
      <w:r>
        <w:tab/>
        <w:t>Evaluation Coordinator</w:t>
      </w:r>
    </w:p>
    <w:p w:rsidR="005643AF" w:rsidRPr="005643AF" w:rsidRDefault="005643AF" w:rsidP="005643AF">
      <w:pPr>
        <w:pStyle w:val="Hyperlink"/>
      </w:pPr>
      <w:r>
        <w:t>Ms. Sally Donlon</w:t>
      </w:r>
      <w:r>
        <w:tab/>
      </w:r>
      <w:r>
        <w:tab/>
        <w:t>Assistant Director for La GEAR Up</w:t>
      </w:r>
    </w:p>
    <w:p w:rsidR="005643AF" w:rsidRPr="005643AF" w:rsidRDefault="005643AF" w:rsidP="005643AF">
      <w:pPr>
        <w:pStyle w:val="Hyperlink"/>
      </w:pPr>
      <w:r w:rsidRPr="005643AF">
        <w:t>Ms. Dianna Frank</w:t>
      </w:r>
      <w:r>
        <w:tab/>
      </w:r>
      <w:r>
        <w:tab/>
      </w:r>
      <w:r w:rsidRPr="005643AF">
        <w:t>Guidance and Counseling Coordinator</w:t>
      </w:r>
    </w:p>
    <w:p w:rsidR="005F5264" w:rsidRPr="00D2608F" w:rsidRDefault="005F5264" w:rsidP="002F214F">
      <w:pPr>
        <w:rPr>
          <w:color w:val="0000FF"/>
        </w:rPr>
      </w:pPr>
      <w:r w:rsidRPr="00D2608F">
        <w:rPr>
          <w:color w:val="0000FF"/>
        </w:rPr>
        <w:t xml:space="preserve">Mr. </w:t>
      </w:r>
      <w:smartTag w:uri="urn:schemas-microsoft-com:office:smarttags" w:element="PersonName">
        <w:r w:rsidRPr="00D2608F">
          <w:rPr>
            <w:color w:val="0000FF"/>
          </w:rPr>
          <w:t>Jim Gershey</w:t>
        </w:r>
      </w:smartTag>
      <w:r w:rsidRPr="00D2608F">
        <w:rPr>
          <w:color w:val="0000FF"/>
        </w:rPr>
        <w:tab/>
      </w:r>
      <w:r w:rsidRPr="00D2608F">
        <w:rPr>
          <w:color w:val="0000FF"/>
        </w:rPr>
        <w:tab/>
        <w:t>Executive Director of Special Programs</w:t>
      </w:r>
    </w:p>
    <w:p w:rsidR="005F5264" w:rsidRPr="00D2608F" w:rsidRDefault="005F5264" w:rsidP="002F214F">
      <w:pPr>
        <w:rPr>
          <w:color w:val="0000FF"/>
        </w:rPr>
      </w:pPr>
      <w:r w:rsidRPr="00D2608F">
        <w:rPr>
          <w:color w:val="0000FF"/>
        </w:rPr>
        <w:t>Ms. Cynthia Greer</w:t>
      </w:r>
      <w:r w:rsidRPr="00D2608F">
        <w:rPr>
          <w:color w:val="0000FF"/>
        </w:rPr>
        <w:tab/>
      </w:r>
      <w:r w:rsidRPr="00D2608F">
        <w:rPr>
          <w:color w:val="0000FF"/>
        </w:rPr>
        <w:tab/>
      </w:r>
      <w:r w:rsidR="005643AF" w:rsidRPr="00D2608F">
        <w:rPr>
          <w:color w:val="0000FF"/>
        </w:rPr>
        <w:t>Grants and Contract Coordinator</w:t>
      </w:r>
    </w:p>
    <w:p w:rsidR="005643AF" w:rsidRDefault="005643AF" w:rsidP="005643AF">
      <w:pPr>
        <w:pStyle w:val="Hyperlink"/>
      </w:pPr>
      <w:r w:rsidRPr="005643AF">
        <w:t>Ms. Renee Harris-Carter</w:t>
      </w:r>
      <w:r>
        <w:tab/>
      </w:r>
      <w:r w:rsidRPr="005643AF">
        <w:t>Contracts and Fiscal Coordinator</w:t>
      </w:r>
    </w:p>
    <w:p w:rsidR="005643AF" w:rsidRDefault="005643AF" w:rsidP="005643AF">
      <w:pPr>
        <w:pStyle w:val="Hyperlink"/>
      </w:pPr>
      <w:r>
        <w:t>Ms. Delreese Hector</w:t>
      </w:r>
      <w:r>
        <w:tab/>
      </w:r>
      <w:r>
        <w:tab/>
        <w:t>Program Coordinator</w:t>
      </w:r>
    </w:p>
    <w:p w:rsidR="005643AF" w:rsidRPr="005643AF" w:rsidRDefault="005643AF" w:rsidP="005643AF">
      <w:pPr>
        <w:pStyle w:val="Hyperlink"/>
      </w:pPr>
      <w:r>
        <w:t>Mr. Chris Herring</w:t>
      </w:r>
      <w:r>
        <w:tab/>
      </w:r>
      <w:r>
        <w:tab/>
        <w:t>Assistant Contracts and Fiscal Officer</w:t>
      </w:r>
    </w:p>
    <w:p w:rsidR="005643AF" w:rsidRPr="005643AF" w:rsidRDefault="005643AF" w:rsidP="005643AF">
      <w:pPr>
        <w:pStyle w:val="Hyperlink"/>
      </w:pPr>
      <w:r w:rsidRPr="005643AF">
        <w:t>Ms. Denise Jacobs-Johnson</w:t>
      </w:r>
      <w:r>
        <w:tab/>
      </w:r>
      <w:r w:rsidRPr="005643AF">
        <w:t>Communications and Public Relations Coordinator</w:t>
      </w:r>
    </w:p>
    <w:p w:rsidR="005F5264" w:rsidRPr="00D2608F" w:rsidRDefault="005F5264" w:rsidP="002F214F">
      <w:pPr>
        <w:rPr>
          <w:color w:val="0000FF"/>
        </w:rPr>
      </w:pPr>
      <w:r w:rsidRPr="00D2608F">
        <w:rPr>
          <w:color w:val="0000FF"/>
        </w:rPr>
        <w:t>Ms. Susan Jernigan</w:t>
      </w:r>
      <w:r w:rsidRPr="00D2608F">
        <w:rPr>
          <w:color w:val="0000FF"/>
        </w:rPr>
        <w:tab/>
      </w:r>
      <w:r w:rsidRPr="00D2608F">
        <w:rPr>
          <w:color w:val="0000FF"/>
        </w:rPr>
        <w:tab/>
        <w:t>EPSCoR Program Associate</w:t>
      </w:r>
    </w:p>
    <w:p w:rsidR="005F5264" w:rsidRDefault="005F5264" w:rsidP="002F214F">
      <w:r>
        <w:t>Mr. Bryan Jones</w:t>
      </w:r>
      <w:r>
        <w:tab/>
      </w:r>
      <w:r>
        <w:tab/>
        <w:t>Enhancement Program Manager</w:t>
      </w:r>
    </w:p>
    <w:p w:rsidR="005643AF" w:rsidRPr="00D2608F" w:rsidRDefault="005643AF" w:rsidP="005643AF">
      <w:pPr>
        <w:pStyle w:val="Hyperlink"/>
        <w:rPr>
          <w:color w:val="0000FF"/>
        </w:rPr>
      </w:pPr>
      <w:r w:rsidRPr="00D2608F">
        <w:rPr>
          <w:color w:val="0000FF"/>
        </w:rPr>
        <w:t>Mr. Karthik Poobalasubramanian</w:t>
      </w:r>
      <w:r w:rsidRPr="00D2608F">
        <w:rPr>
          <w:color w:val="0000FF"/>
        </w:rPr>
        <w:tab/>
        <w:t>Programmer</w:t>
      </w:r>
      <w:r w:rsidR="00B8378A">
        <w:rPr>
          <w:color w:val="0000FF"/>
        </w:rPr>
        <w:t xml:space="preserve"> (½ of his time goes to EPSCoR/½ to BoR)</w:t>
      </w:r>
    </w:p>
    <w:p w:rsidR="005F5264" w:rsidRDefault="005F5264" w:rsidP="002F214F">
      <w:r>
        <w:t xml:space="preserve">Ms. </w:t>
      </w:r>
      <w:smartTag w:uri="urn:schemas-microsoft-com:office:smarttags" w:element="PersonName">
        <w:r>
          <w:t>Noreen Lackett</w:t>
        </w:r>
      </w:smartTag>
      <w:r>
        <w:tab/>
      </w:r>
      <w:r>
        <w:tab/>
        <w:t>Enhancement Program Manager</w:t>
      </w:r>
    </w:p>
    <w:p w:rsidR="005643AF" w:rsidRPr="005643AF" w:rsidRDefault="005643AF" w:rsidP="002F214F">
      <w:r w:rsidRPr="005643AF">
        <w:t>Ms. Savitri Scott</w:t>
      </w:r>
      <w:r>
        <w:tab/>
      </w:r>
      <w:r>
        <w:tab/>
      </w:r>
      <w:r w:rsidRPr="005643AF">
        <w:t>English/Language Arts Coordinator</w:t>
      </w:r>
    </w:p>
    <w:p w:rsidR="005F5264" w:rsidRDefault="005F5264" w:rsidP="002F214F">
      <w:r>
        <w:t>Ms. Zenovia Simmons</w:t>
      </w:r>
      <w:r>
        <w:tab/>
        <w:t>Research and Development Program Manager</w:t>
      </w:r>
    </w:p>
    <w:p w:rsidR="005643AF" w:rsidRPr="005643AF" w:rsidRDefault="005643AF" w:rsidP="005643AF">
      <w:pPr>
        <w:pStyle w:val="Hyperlink"/>
      </w:pPr>
      <w:r w:rsidRPr="005643AF">
        <w:t>Ms. Sara Sims</w:t>
      </w:r>
      <w:r>
        <w:tab/>
      </w:r>
      <w:r>
        <w:tab/>
      </w:r>
      <w:r>
        <w:tab/>
      </w:r>
      <w:r w:rsidRPr="005643AF">
        <w:t>RC/EEP Program Manager</w:t>
      </w:r>
    </w:p>
    <w:p w:rsidR="005F5264" w:rsidRDefault="005F5264" w:rsidP="002F214F">
      <w:pPr>
        <w:rPr>
          <w:color w:val="0000FF"/>
        </w:rPr>
      </w:pPr>
      <w:r w:rsidRPr="00D2608F">
        <w:rPr>
          <w:color w:val="0000FF"/>
        </w:rPr>
        <w:t>Ms.</w:t>
      </w:r>
      <w:r w:rsidR="00301571">
        <w:rPr>
          <w:color w:val="0000FF"/>
        </w:rPr>
        <w:t xml:space="preserve"> </w:t>
      </w:r>
      <w:r w:rsidR="00B5799F">
        <w:rPr>
          <w:color w:val="0000FF"/>
        </w:rPr>
        <w:t>Amber King</w:t>
      </w:r>
      <w:r w:rsidRPr="00D2608F">
        <w:rPr>
          <w:color w:val="0000FF"/>
        </w:rPr>
        <w:tab/>
      </w:r>
      <w:r w:rsidRPr="00D2608F">
        <w:rPr>
          <w:color w:val="0000FF"/>
        </w:rPr>
        <w:tab/>
        <w:t>Communications Manager</w:t>
      </w:r>
    </w:p>
    <w:p w:rsidR="00B8378A" w:rsidRDefault="00B8378A" w:rsidP="002F214F">
      <w:pPr>
        <w:rPr>
          <w:color w:val="0000FF"/>
        </w:rPr>
      </w:pPr>
    </w:p>
    <w:p w:rsidR="00B8378A" w:rsidRPr="00D2608F" w:rsidRDefault="00B8378A" w:rsidP="002F214F">
      <w:pPr>
        <w:rPr>
          <w:color w:val="0000FF"/>
        </w:rPr>
      </w:pPr>
      <w:r>
        <w:rPr>
          <w:color w:val="0000FF"/>
        </w:rPr>
        <w:t>*Blue – EPSCoR employees</w:t>
      </w:r>
    </w:p>
    <w:p w:rsidR="005F5264" w:rsidRPr="005643AF" w:rsidRDefault="005F5264" w:rsidP="002F214F"/>
    <w:p w:rsidR="005F5264" w:rsidRDefault="005F5264" w:rsidP="002F214F"/>
    <w:p w:rsidR="005F5264" w:rsidRPr="005643AF" w:rsidRDefault="00120F39" w:rsidP="002F214F">
      <w:pPr>
        <w:rPr>
          <w:b/>
          <w:u w:val="single"/>
        </w:rPr>
      </w:pPr>
      <w:r>
        <w:rPr>
          <w:b/>
          <w:u w:val="single"/>
        </w:rPr>
        <w:br w:type="page"/>
      </w:r>
      <w:r w:rsidR="005F5264" w:rsidRPr="005643AF">
        <w:rPr>
          <w:b/>
          <w:u w:val="single"/>
        </w:rPr>
        <w:lastRenderedPageBreak/>
        <w:t>ADMINISTRATIVE SERVICES STAFF:</w:t>
      </w:r>
    </w:p>
    <w:p w:rsidR="005F5264" w:rsidRDefault="005F5264" w:rsidP="002F214F"/>
    <w:p w:rsidR="005F5264" w:rsidRDefault="005F5264" w:rsidP="002F214F">
      <w:r>
        <w:t>Ms. Loretta Braud</w:t>
      </w:r>
      <w:r>
        <w:tab/>
      </w:r>
      <w:r>
        <w:tab/>
        <w:t>Executive Secretary (Dr. Davidson)</w:t>
      </w:r>
    </w:p>
    <w:p w:rsidR="005F5264" w:rsidRDefault="005F5264" w:rsidP="002F214F">
      <w:r>
        <w:t>Mr. Jerry Collins</w:t>
      </w:r>
      <w:r w:rsidR="005643AF">
        <w:tab/>
      </w:r>
      <w:r w:rsidR="005643AF">
        <w:tab/>
        <w:t>Administrative Assistant</w:t>
      </w:r>
    </w:p>
    <w:p w:rsidR="005F5264" w:rsidRDefault="005F5264" w:rsidP="002F214F">
      <w:r>
        <w:t>Ms. Vera Dear</w:t>
      </w:r>
      <w:r>
        <w:tab/>
      </w:r>
      <w:r>
        <w:tab/>
      </w:r>
      <w:r>
        <w:tab/>
        <w:t>Administrative Services Assistant (Mr. Wallin)</w:t>
      </w:r>
    </w:p>
    <w:p w:rsidR="005F5264" w:rsidRDefault="005F5264" w:rsidP="002F214F">
      <w:r>
        <w:t>Ms. Jill Holton</w:t>
      </w:r>
      <w:r>
        <w:tab/>
      </w:r>
      <w:r>
        <w:tab/>
      </w:r>
      <w:r w:rsidR="005643AF">
        <w:t>Admin</w:t>
      </w:r>
      <w:r w:rsidR="00120F39">
        <w:t>i</w:t>
      </w:r>
      <w:r w:rsidR="005643AF">
        <w:t>strative</w:t>
      </w:r>
      <w:r>
        <w:t xml:space="preserve"> Coordinator</w:t>
      </w:r>
    </w:p>
    <w:p w:rsidR="005F5264" w:rsidRDefault="005F5264" w:rsidP="002F214F"/>
    <w:p w:rsidR="005643AF" w:rsidRDefault="005643AF" w:rsidP="002F214F"/>
    <w:p w:rsidR="005F5264" w:rsidRPr="005643AF" w:rsidRDefault="005F5264" w:rsidP="002F214F">
      <w:pPr>
        <w:rPr>
          <w:b/>
          <w:u w:val="single"/>
        </w:rPr>
      </w:pPr>
      <w:r w:rsidRPr="005643AF">
        <w:rPr>
          <w:b/>
          <w:u w:val="single"/>
        </w:rPr>
        <w:t>OTHER (e.g., PART-TIME/STUDENTS/INTERNS):</w:t>
      </w:r>
    </w:p>
    <w:p w:rsidR="005F5264" w:rsidRDefault="005F5264" w:rsidP="002F214F"/>
    <w:p w:rsidR="00120F39" w:rsidRPr="00D2608F" w:rsidRDefault="00301571" w:rsidP="002F214F">
      <w:pPr>
        <w:rPr>
          <w:color w:val="0000FF"/>
        </w:rPr>
      </w:pPr>
      <w:r w:rsidRPr="00301571">
        <w:rPr>
          <w:color w:val="0000FF"/>
        </w:rPr>
        <w:t xml:space="preserve">Johlana </w:t>
      </w:r>
      <w:r w:rsidR="00B8378A">
        <w:rPr>
          <w:color w:val="0000FF"/>
        </w:rPr>
        <w:t>Turner</w:t>
      </w:r>
      <w:r w:rsidR="005D0CEE" w:rsidRPr="00301571">
        <w:rPr>
          <w:color w:val="0000FF"/>
        </w:rPr>
        <w:tab/>
      </w:r>
      <w:r w:rsidR="005D0CEE" w:rsidRPr="00D2608F">
        <w:rPr>
          <w:color w:val="0000FF"/>
        </w:rPr>
        <w:tab/>
        <w:t>Part-time Student Worker</w:t>
      </w:r>
    </w:p>
    <w:p w:rsidR="005F5264" w:rsidRPr="00A10C83" w:rsidRDefault="00120F39" w:rsidP="00120F39">
      <w:pPr>
        <w:jc w:val="center"/>
        <w:rPr>
          <w:b/>
        </w:rPr>
      </w:pPr>
      <w:r>
        <w:br w:type="page"/>
      </w:r>
      <w:r w:rsidRPr="00A10C83">
        <w:rPr>
          <w:b/>
        </w:rPr>
        <w:lastRenderedPageBreak/>
        <w:t>GENERAL INFORMATION ON THE BOARD OF REGENTS SUPPORT FUND</w:t>
      </w:r>
    </w:p>
    <w:p w:rsidR="00120F39" w:rsidRPr="00A10C83" w:rsidRDefault="00120F39" w:rsidP="00120F39">
      <w:pPr>
        <w:jc w:val="center"/>
        <w:rPr>
          <w:b/>
        </w:rPr>
      </w:pPr>
      <w:r w:rsidRPr="00A10C83">
        <w:rPr>
          <w:b/>
        </w:rPr>
        <w:t>(BoRSF)</w:t>
      </w:r>
    </w:p>
    <w:p w:rsidR="00120F39" w:rsidRDefault="00120F39" w:rsidP="00120F39">
      <w:pPr>
        <w:jc w:val="center"/>
      </w:pPr>
    </w:p>
    <w:p w:rsidR="00120F39" w:rsidRPr="00A10C83" w:rsidRDefault="00120F39" w:rsidP="00120F39">
      <w:pPr>
        <w:rPr>
          <w:b/>
        </w:rPr>
      </w:pPr>
      <w:r w:rsidRPr="00A10C83">
        <w:rPr>
          <w:b/>
        </w:rPr>
        <w:t>A.</w:t>
      </w:r>
      <w:r w:rsidRPr="00A10C83">
        <w:rPr>
          <w:b/>
        </w:rPr>
        <w:tab/>
        <w:t>Basis of Authority</w:t>
      </w:r>
    </w:p>
    <w:p w:rsidR="00120F39" w:rsidRDefault="00120F39" w:rsidP="00645235">
      <w:pPr>
        <w:ind w:left="720"/>
      </w:pPr>
      <w:r>
        <w:t>Article VII, Section 10.1 of the Louisiana Constitution established two funds in the State treasury; the Louisiana Education Quality Trust Fund (hereinafter referred to as the Trust Fund) and the Board of Regents Support Fund (hereinafter referred to as the Board of Regents Support</w:t>
      </w:r>
      <w:r w:rsidR="008C7EFC">
        <w:t xml:space="preserve"> Fund</w:t>
      </w:r>
      <w:r>
        <w:t xml:space="preserve"> or the Support Fund).  The Trust Fund was established with approximately $550 million received from settlement of disputed oil and gas revenues generated in the so-called 8(g) stipulation of the Federal Outer </w:t>
      </w:r>
      <w:r w:rsidR="008C7EFC">
        <w:t>C</w:t>
      </w:r>
      <w:r>
        <w:t xml:space="preserve">ontinental Shelf Lands Act.  </w:t>
      </w:r>
      <w:r w:rsidR="00645235">
        <w:t>Twenty-five percent of the interest earned from investment of monies in the Trust Fund, as well as 25 percent of recurring 8(g) oil and gas revenues, will continue to be returned to the Trust Fund, until it reaches a cap of $2 billion.  Each fiscal year the remaining 75 percent of the interest earned and 75% of the recurring oil and gas revenues are placed in the Support fund for appropriation by the Legislature.</w:t>
      </w:r>
    </w:p>
    <w:p w:rsidR="00645235" w:rsidRDefault="00645235" w:rsidP="00120F39"/>
    <w:p w:rsidR="00645235" w:rsidRPr="00A10C83" w:rsidRDefault="00645235" w:rsidP="00120F39">
      <w:pPr>
        <w:rPr>
          <w:b/>
        </w:rPr>
      </w:pPr>
      <w:r w:rsidRPr="00A10C83">
        <w:rPr>
          <w:b/>
        </w:rPr>
        <w:t>B.  Purposes of the Board of Regents Support Fund</w:t>
      </w:r>
    </w:p>
    <w:p w:rsidR="00645235" w:rsidRDefault="00645235" w:rsidP="00645235">
      <w:pPr>
        <w:ind w:left="720"/>
      </w:pPr>
      <w:r>
        <w:t xml:space="preserve">On an annual basis, Support Fund money is divided equally between the Board of Elementary and Secondary Education (BESE) and the Board of Regents (hereinafter referred to as the Board) for higher education.  According to Article VII of the </w:t>
      </w:r>
      <w:r w:rsidR="008C7EFC">
        <w:t>C</w:t>
      </w:r>
      <w:r>
        <w:t>onstitution, the funds available for higher education from the Support Fund are to be utilized “… as that money is appropriated by the Legislature and allocated by the Board of Regents for any or all of the following higher educational purposes to enhance economic development: “</w:t>
      </w:r>
    </w:p>
    <w:p w:rsidR="00645235" w:rsidRDefault="00645235" w:rsidP="00120F39">
      <w:r>
        <w:tab/>
      </w:r>
    </w:p>
    <w:p w:rsidR="00645235" w:rsidRDefault="00645235" w:rsidP="00645235">
      <w:pPr>
        <w:ind w:left="1440" w:hanging="720"/>
      </w:pPr>
      <w:r>
        <w:t>i.</w:t>
      </w:r>
      <w:r>
        <w:tab/>
        <w:t xml:space="preserve">the carefully defined research efforts at public and private universities in </w:t>
      </w:r>
      <w:smartTag w:uri="urn:schemas-microsoft-com:office:smarttags" w:element="place">
        <w:smartTag w:uri="urn:schemas-microsoft-com:office:smarttags" w:element="State">
          <w:r>
            <w:t>Louisiana</w:t>
          </w:r>
        </w:smartTag>
      </w:smartTag>
    </w:p>
    <w:p w:rsidR="00645235" w:rsidRDefault="00645235" w:rsidP="00120F39">
      <w:r>
        <w:tab/>
        <w:t>ii.</w:t>
      </w:r>
      <w:r>
        <w:tab/>
        <w:t>the endowment of chairs for eminent scholars;</w:t>
      </w:r>
    </w:p>
    <w:p w:rsidR="00645235" w:rsidRDefault="00645235" w:rsidP="00645235">
      <w:pPr>
        <w:ind w:left="1440" w:hanging="720"/>
      </w:pPr>
      <w:r>
        <w:t>iii.</w:t>
      </w:r>
      <w:r>
        <w:tab/>
        <w:t>the enhancement of the quality of academic, research, or agricultural departments or units within a university; and,</w:t>
      </w:r>
    </w:p>
    <w:p w:rsidR="00645235" w:rsidRDefault="00645235" w:rsidP="00120F39">
      <w:r>
        <w:tab/>
        <w:t>iv.</w:t>
      </w:r>
      <w:r>
        <w:tab/>
        <w:t>the recruitment of superior graduate students.</w:t>
      </w:r>
    </w:p>
    <w:p w:rsidR="00645235" w:rsidRDefault="00645235" w:rsidP="00120F39"/>
    <w:p w:rsidR="00645235" w:rsidRDefault="00645235" w:rsidP="00645235">
      <w:pPr>
        <w:ind w:left="720"/>
      </w:pPr>
      <w:r>
        <w:t>The Article further stipulates that “The monies appropriated by the Legislature and disbursed from the Support Fund shall not … displace, replace, or supplant other appropriated funding for higher education…”</w:t>
      </w:r>
    </w:p>
    <w:p w:rsidR="00645235" w:rsidRDefault="00645235" w:rsidP="00120F39"/>
    <w:p w:rsidR="00645235" w:rsidRDefault="00645235" w:rsidP="00645235">
      <w:pPr>
        <w:ind w:left="720"/>
      </w:pPr>
      <w:r>
        <w:t>Reflecting these Constitutional mandates, the Board of Regents’ “Policy for Administration of Funds Received from the Board of Regents Support Fund” (hereinafter referred to as the Board’s Policy for Administration), adopted in October, 1986, affirms that awards in all categories will be based on the following considerations:</w:t>
      </w:r>
    </w:p>
    <w:p w:rsidR="00645235" w:rsidRDefault="00645235" w:rsidP="00645235">
      <w:pPr>
        <w:ind w:left="1440" w:hanging="720"/>
      </w:pPr>
      <w:r>
        <w:t>1.</w:t>
      </w:r>
      <w:r>
        <w:tab/>
        <w:t xml:space="preserve">the potential for the award to enhance the overall quality of higher education in </w:t>
      </w:r>
      <w:smartTag w:uri="urn:schemas-microsoft-com:office:smarttags" w:element="place">
        <w:smartTag w:uri="urn:schemas-microsoft-com:office:smarttags" w:element="State">
          <w:r>
            <w:t>Louisiana</w:t>
          </w:r>
        </w:smartTag>
      </w:smartTag>
      <w:r>
        <w:t>; and</w:t>
      </w:r>
    </w:p>
    <w:p w:rsidR="00645235" w:rsidRDefault="00645235" w:rsidP="00120F39">
      <w:r>
        <w:tab/>
        <w:t>2.</w:t>
      </w:r>
      <w:r>
        <w:tab/>
        <w:t>the potential for the award to enhance the economic development of the State.</w:t>
      </w:r>
    </w:p>
    <w:p w:rsidR="007E32AB" w:rsidRDefault="007E32AB" w:rsidP="00120F39"/>
    <w:p w:rsidR="007E32AB" w:rsidRDefault="007E32AB" w:rsidP="00120F39"/>
    <w:p w:rsidR="00B32916" w:rsidRDefault="00B32916" w:rsidP="00B32916">
      <w:pPr>
        <w:jc w:val="center"/>
      </w:pPr>
      <w:r>
        <w:br w:type="page"/>
      </w: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B32916" w:rsidRDefault="00B32916" w:rsidP="00B32916">
      <w:pPr>
        <w:jc w:val="center"/>
      </w:pPr>
    </w:p>
    <w:p w:rsidR="007213D7" w:rsidRDefault="00B32916" w:rsidP="00B32916">
      <w:pPr>
        <w:jc w:val="center"/>
        <w:rPr>
          <w:b/>
          <w:sz w:val="32"/>
        </w:rPr>
      </w:pPr>
      <w:r w:rsidRPr="00B32916">
        <w:rPr>
          <w:b/>
          <w:sz w:val="32"/>
        </w:rPr>
        <w:t>SPONSORED PROGRAMS STAFF</w:t>
      </w:r>
    </w:p>
    <w:p w:rsidR="007E32AB" w:rsidRDefault="007213D7" w:rsidP="00B32916">
      <w:pPr>
        <w:jc w:val="center"/>
        <w:rPr>
          <w:b/>
          <w:sz w:val="32"/>
        </w:rPr>
      </w:pPr>
      <w:r>
        <w:rPr>
          <w:b/>
          <w:sz w:val="32"/>
        </w:rPr>
        <w:br w:type="page"/>
      </w:r>
      <w:r>
        <w:rPr>
          <w:b/>
          <w:sz w:val="32"/>
        </w:rPr>
        <w:lastRenderedPageBreak/>
        <w:t>Table of Contents</w:t>
      </w:r>
    </w:p>
    <w:p w:rsidR="007213D7" w:rsidRDefault="007213D7" w:rsidP="00B32916">
      <w:pPr>
        <w:jc w:val="center"/>
        <w:rPr>
          <w:b/>
          <w:sz w:val="32"/>
        </w:rPr>
      </w:pPr>
    </w:p>
    <w:p w:rsidR="00F64D96" w:rsidRDefault="00F64D96" w:rsidP="00F64D96">
      <w:pPr>
        <w:numPr>
          <w:ilvl w:val="0"/>
          <w:numId w:val="1"/>
        </w:numPr>
        <w:rPr>
          <w:b/>
          <w:sz w:val="32"/>
        </w:rPr>
      </w:pPr>
      <w:r>
        <w:rPr>
          <w:b/>
          <w:sz w:val="32"/>
        </w:rPr>
        <w:t>Board of Regents</w:t>
      </w:r>
    </w:p>
    <w:p w:rsidR="00F64D96" w:rsidRDefault="00F64D96" w:rsidP="00F64D96">
      <w:pPr>
        <w:ind w:left="720"/>
        <w:rPr>
          <w:b/>
          <w:sz w:val="32"/>
        </w:rPr>
      </w:pPr>
      <w:r>
        <w:rPr>
          <w:b/>
          <w:sz w:val="32"/>
        </w:rPr>
        <w:t>Constitutional Authority</w:t>
      </w:r>
    </w:p>
    <w:p w:rsidR="00F64D96" w:rsidRDefault="00F64D96" w:rsidP="00F64D96">
      <w:pPr>
        <w:ind w:left="720"/>
        <w:rPr>
          <w:b/>
          <w:sz w:val="32"/>
        </w:rPr>
      </w:pPr>
      <w:r>
        <w:rPr>
          <w:b/>
          <w:sz w:val="32"/>
        </w:rPr>
        <w:t>What Do the Regents’ Do?</w:t>
      </w:r>
    </w:p>
    <w:p w:rsidR="00F64D96" w:rsidRDefault="00F64D96" w:rsidP="00F64D96">
      <w:pPr>
        <w:ind w:left="720"/>
        <w:rPr>
          <w:b/>
          <w:sz w:val="32"/>
        </w:rPr>
      </w:pPr>
      <w:r>
        <w:rPr>
          <w:b/>
          <w:sz w:val="32"/>
        </w:rPr>
        <w:t>Board of Regents 2010 Members</w:t>
      </w:r>
    </w:p>
    <w:p w:rsidR="00F64D96" w:rsidRDefault="00F64D96" w:rsidP="00F64D96">
      <w:pPr>
        <w:ind w:left="720"/>
        <w:rPr>
          <w:b/>
          <w:sz w:val="32"/>
        </w:rPr>
      </w:pPr>
      <w:r>
        <w:rPr>
          <w:b/>
          <w:sz w:val="32"/>
        </w:rPr>
        <w:t>Board of Regents Committees</w:t>
      </w:r>
    </w:p>
    <w:p w:rsidR="00F64D96" w:rsidRDefault="00F64D96" w:rsidP="00F64D96">
      <w:pPr>
        <w:ind w:left="720"/>
        <w:rPr>
          <w:b/>
          <w:sz w:val="32"/>
        </w:rPr>
      </w:pPr>
      <w:r>
        <w:rPr>
          <w:b/>
          <w:sz w:val="32"/>
        </w:rPr>
        <w:t>Board of Regents Staff</w:t>
      </w:r>
    </w:p>
    <w:p w:rsidR="00F64D96" w:rsidRDefault="00F64D96" w:rsidP="00F64D96">
      <w:pPr>
        <w:ind w:left="720"/>
        <w:rPr>
          <w:b/>
          <w:sz w:val="32"/>
        </w:rPr>
      </w:pPr>
      <w:r>
        <w:rPr>
          <w:b/>
          <w:sz w:val="32"/>
        </w:rPr>
        <w:t>Board of Regents 2011 Notice of Meetings</w:t>
      </w:r>
    </w:p>
    <w:p w:rsidR="00F64D96" w:rsidRDefault="00F64D96" w:rsidP="00F64D96">
      <w:pPr>
        <w:numPr>
          <w:ilvl w:val="0"/>
          <w:numId w:val="1"/>
        </w:numPr>
        <w:rPr>
          <w:b/>
          <w:sz w:val="32"/>
        </w:rPr>
      </w:pPr>
      <w:r>
        <w:rPr>
          <w:b/>
          <w:sz w:val="32"/>
        </w:rPr>
        <w:t>Sponsored Programs</w:t>
      </w:r>
    </w:p>
    <w:p w:rsidR="00F64D96" w:rsidRDefault="00F64D96" w:rsidP="00F64D96">
      <w:pPr>
        <w:ind w:left="720"/>
        <w:rPr>
          <w:b/>
          <w:sz w:val="32"/>
        </w:rPr>
      </w:pPr>
      <w:r>
        <w:rPr>
          <w:b/>
          <w:sz w:val="32"/>
        </w:rPr>
        <w:t>Sponsored Programs Staff</w:t>
      </w:r>
    </w:p>
    <w:p w:rsidR="00F64D96" w:rsidRDefault="00F64D96" w:rsidP="00F64D96">
      <w:pPr>
        <w:numPr>
          <w:ilvl w:val="0"/>
          <w:numId w:val="1"/>
        </w:numPr>
        <w:rPr>
          <w:b/>
          <w:sz w:val="32"/>
        </w:rPr>
      </w:pPr>
      <w:r>
        <w:rPr>
          <w:b/>
          <w:sz w:val="32"/>
        </w:rPr>
        <w:t>General Information on the Board of Regents Support Fund</w:t>
      </w:r>
    </w:p>
    <w:p w:rsidR="00F64D96" w:rsidRDefault="00F64D96" w:rsidP="00F64D96">
      <w:pPr>
        <w:ind w:left="720"/>
        <w:rPr>
          <w:b/>
          <w:sz w:val="32"/>
        </w:rPr>
      </w:pPr>
      <w:r>
        <w:rPr>
          <w:b/>
          <w:sz w:val="32"/>
        </w:rPr>
        <w:t>Board of Regents Support Fund Advisory Board</w:t>
      </w:r>
    </w:p>
    <w:p w:rsidR="00F64D96" w:rsidRDefault="00F64D96" w:rsidP="00F64D96">
      <w:pPr>
        <w:ind w:left="720"/>
        <w:rPr>
          <w:b/>
          <w:sz w:val="32"/>
        </w:rPr>
      </w:pPr>
      <w:r>
        <w:rPr>
          <w:b/>
          <w:sz w:val="32"/>
        </w:rPr>
        <w:t>Board of Regents Support Fund Planning Committee</w:t>
      </w:r>
    </w:p>
    <w:p w:rsidR="00F64D96" w:rsidRPr="00E34D6E" w:rsidRDefault="00F64D96" w:rsidP="00E34D6E">
      <w:pPr>
        <w:numPr>
          <w:ilvl w:val="0"/>
          <w:numId w:val="1"/>
        </w:numPr>
        <w:rPr>
          <w:b/>
          <w:sz w:val="32"/>
        </w:rPr>
      </w:pPr>
      <w:r w:rsidRPr="00E34D6E">
        <w:rPr>
          <w:b/>
          <w:sz w:val="32"/>
        </w:rPr>
        <w:t>Louisiana EPSCoR</w:t>
      </w:r>
    </w:p>
    <w:p w:rsidR="00F64D96" w:rsidRDefault="00F64D96" w:rsidP="00F64D96">
      <w:pPr>
        <w:ind w:left="720"/>
        <w:rPr>
          <w:b/>
          <w:sz w:val="32"/>
        </w:rPr>
      </w:pPr>
      <w:r>
        <w:rPr>
          <w:b/>
          <w:sz w:val="32"/>
        </w:rPr>
        <w:t>EPSCoR Subcommittee</w:t>
      </w:r>
    </w:p>
    <w:p w:rsidR="00F64D96" w:rsidRDefault="00F64D96" w:rsidP="00F64D96">
      <w:pPr>
        <w:numPr>
          <w:ilvl w:val="0"/>
          <w:numId w:val="1"/>
        </w:numPr>
        <w:rPr>
          <w:b/>
          <w:sz w:val="32"/>
        </w:rPr>
      </w:pPr>
      <w:r>
        <w:rPr>
          <w:b/>
          <w:sz w:val="32"/>
        </w:rPr>
        <w:t>First Louisiana – Science and Technology Program</w:t>
      </w:r>
    </w:p>
    <w:p w:rsidR="00F64D96" w:rsidRDefault="00F64D96" w:rsidP="00F64D96">
      <w:pPr>
        <w:numPr>
          <w:ilvl w:val="0"/>
          <w:numId w:val="1"/>
        </w:numPr>
        <w:rPr>
          <w:b/>
          <w:sz w:val="32"/>
        </w:rPr>
      </w:pPr>
      <w:r>
        <w:rPr>
          <w:b/>
          <w:sz w:val="32"/>
        </w:rPr>
        <w:t>Recent New Releases</w:t>
      </w:r>
    </w:p>
    <w:p w:rsidR="00F64D96" w:rsidRPr="00F64D96" w:rsidRDefault="00F64D96" w:rsidP="00F64D96">
      <w:pPr>
        <w:numPr>
          <w:ilvl w:val="0"/>
          <w:numId w:val="1"/>
        </w:numPr>
        <w:rPr>
          <w:b/>
          <w:sz w:val="32"/>
        </w:rPr>
      </w:pPr>
      <w:r>
        <w:rPr>
          <w:b/>
          <w:sz w:val="32"/>
        </w:rPr>
        <w:t>EPSCoR Newsletters - Sample</w:t>
      </w:r>
    </w:p>
    <w:sectPr w:rsidR="00F64D96" w:rsidRPr="00F64D96" w:rsidSect="005F52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3E"/>
    <w:multiLevelType w:val="hybridMultilevel"/>
    <w:tmpl w:val="4DE2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47109F"/>
    <w:rsid w:val="00120F39"/>
    <w:rsid w:val="002F214F"/>
    <w:rsid w:val="00301571"/>
    <w:rsid w:val="0047109F"/>
    <w:rsid w:val="004A056F"/>
    <w:rsid w:val="004A314F"/>
    <w:rsid w:val="005643AF"/>
    <w:rsid w:val="005D0CEE"/>
    <w:rsid w:val="005F5264"/>
    <w:rsid w:val="00645235"/>
    <w:rsid w:val="006C5DDB"/>
    <w:rsid w:val="007213D7"/>
    <w:rsid w:val="007E32AB"/>
    <w:rsid w:val="008C7EFC"/>
    <w:rsid w:val="00A10C83"/>
    <w:rsid w:val="00B32916"/>
    <w:rsid w:val="00B5799F"/>
    <w:rsid w:val="00B8378A"/>
    <w:rsid w:val="00D2608F"/>
    <w:rsid w:val="00E34D6E"/>
    <w:rsid w:val="00E477D3"/>
    <w:rsid w:val="00F64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7109F"/>
    <w:pPr>
      <w:spacing w:before="100" w:beforeAutospacing="1" w:after="100" w:afterAutospacing="1"/>
    </w:pPr>
    <w:rPr>
      <w:color w:val="000000"/>
    </w:rPr>
  </w:style>
  <w:style w:type="character" w:styleId="Hyperlink">
    <w:name w:val="Hyperlink"/>
    <w:basedOn w:val="DefaultParagraphFont"/>
    <w:rsid w:val="0047109F"/>
    <w:rPr>
      <w:strike w:val="0"/>
      <w:dstrike w:val="0"/>
      <w:color w:val="000066"/>
      <w:u w:val="none"/>
      <w:effect w:val="none"/>
    </w:rPr>
  </w:style>
  <w:style w:type="paragraph" w:styleId="BalloonText">
    <w:name w:val="Balloon Text"/>
    <w:basedOn w:val="Normal"/>
    <w:link w:val="BalloonTextChar"/>
    <w:rsid w:val="00301571"/>
    <w:rPr>
      <w:rFonts w:ascii="Tahoma" w:hAnsi="Tahoma" w:cs="Tahoma"/>
      <w:sz w:val="16"/>
      <w:szCs w:val="16"/>
    </w:rPr>
  </w:style>
  <w:style w:type="character" w:customStyle="1" w:styleId="BalloonTextChar">
    <w:name w:val="Balloon Text Char"/>
    <w:basedOn w:val="DefaultParagraphFont"/>
    <w:link w:val="BalloonText"/>
    <w:rsid w:val="00301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ate.legis.state.la.us/Documents/Constitution/Default.htm" TargetMode="External"/><Relationship Id="rId13" Type="http://schemas.openxmlformats.org/officeDocument/2006/relationships/hyperlink" Target="http://www.lsusystem.lsu.edu" TargetMode="External"/><Relationship Id="rId18" Type="http://schemas.openxmlformats.org/officeDocument/2006/relationships/hyperlink" Target="http://asa.regents.state.la.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regents.state.la.us/Board/articlevii-10.4.htm" TargetMode="External"/><Relationship Id="rId17" Type="http://schemas.openxmlformats.org/officeDocument/2006/relationships/hyperlink" Target="http://www.regents.state.la.us/Planning/prphome.htm" TargetMode="External"/><Relationship Id="rId2" Type="http://schemas.openxmlformats.org/officeDocument/2006/relationships/styles" Target="styles.xml"/><Relationship Id="rId16" Type="http://schemas.openxmlformats.org/officeDocument/2006/relationships/hyperlink" Target="http://www.lctcs.state.la.us" TargetMode="External"/><Relationship Id="rId20" Type="http://schemas.openxmlformats.org/officeDocument/2006/relationships/hyperlink" Target="http://www.regents.state.la.us/PubRel/pubrelhome.ht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egents.state.la.us/Board/articlevii.htm" TargetMode="External"/><Relationship Id="rId5" Type="http://schemas.openxmlformats.org/officeDocument/2006/relationships/hyperlink" Target="http://www.regents.state.la.us/index.htm" TargetMode="External"/><Relationship Id="rId15" Type="http://schemas.openxmlformats.org/officeDocument/2006/relationships/hyperlink" Target="http://www.ulsystem.net" TargetMode="External"/><Relationship Id="rId10" Type="http://schemas.openxmlformats.org/officeDocument/2006/relationships/hyperlink" Target="http://www.regents.state.la.us/Board/articleviii.htm" TargetMode="External"/><Relationship Id="rId19" Type="http://schemas.openxmlformats.org/officeDocument/2006/relationships/hyperlink" Target="http://www.regents.state.la.us/Finance/finfachome.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us.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Louisiana Board of Regents</Company>
  <LinksUpToDate>false</LinksUpToDate>
  <CharactersWithSpaces>10662</CharactersWithSpaces>
  <SharedDoc>false</SharedDoc>
  <HLinks>
    <vt:vector size="186" baseType="variant">
      <vt:variant>
        <vt:i4>5832796</vt:i4>
      </vt:variant>
      <vt:variant>
        <vt:i4>90</vt:i4>
      </vt:variant>
      <vt:variant>
        <vt:i4>0</vt:i4>
      </vt:variant>
      <vt:variant>
        <vt:i4>5</vt:i4>
      </vt:variant>
      <vt:variant>
        <vt:lpwstr>http://www.regents.state.la.us/PubRel/pubrelhome.htm</vt:lpwstr>
      </vt:variant>
      <vt:variant>
        <vt:lpwstr/>
      </vt:variant>
      <vt:variant>
        <vt:i4>5242965</vt:i4>
      </vt:variant>
      <vt:variant>
        <vt:i4>87</vt:i4>
      </vt:variant>
      <vt:variant>
        <vt:i4>0</vt:i4>
      </vt:variant>
      <vt:variant>
        <vt:i4>5</vt:i4>
      </vt:variant>
      <vt:variant>
        <vt:lpwstr>http://www.regents.state.la.us/Finance/finfachome.htm</vt:lpwstr>
      </vt:variant>
      <vt:variant>
        <vt:lpwstr/>
      </vt:variant>
      <vt:variant>
        <vt:i4>6619188</vt:i4>
      </vt:variant>
      <vt:variant>
        <vt:i4>84</vt:i4>
      </vt:variant>
      <vt:variant>
        <vt:i4>0</vt:i4>
      </vt:variant>
      <vt:variant>
        <vt:i4>5</vt:i4>
      </vt:variant>
      <vt:variant>
        <vt:lpwstr>http://asa.regents.state.la.us/</vt:lpwstr>
      </vt:variant>
      <vt:variant>
        <vt:lpwstr/>
      </vt:variant>
      <vt:variant>
        <vt:i4>7733361</vt:i4>
      </vt:variant>
      <vt:variant>
        <vt:i4>81</vt:i4>
      </vt:variant>
      <vt:variant>
        <vt:i4>0</vt:i4>
      </vt:variant>
      <vt:variant>
        <vt:i4>5</vt:i4>
      </vt:variant>
      <vt:variant>
        <vt:lpwstr>http://www.regents.state.la.us/Planning/prphome.htm</vt:lpwstr>
      </vt:variant>
      <vt:variant>
        <vt:lpwstr/>
      </vt:variant>
      <vt:variant>
        <vt:i4>393284</vt:i4>
      </vt:variant>
      <vt:variant>
        <vt:i4>63</vt:i4>
      </vt:variant>
      <vt:variant>
        <vt:i4>0</vt:i4>
      </vt:variant>
      <vt:variant>
        <vt:i4>5</vt:i4>
      </vt:variant>
      <vt:variant>
        <vt:lpwstr>http://www.lctcs.state.la.us/</vt:lpwstr>
      </vt:variant>
      <vt:variant>
        <vt:lpwstr/>
      </vt:variant>
      <vt:variant>
        <vt:i4>6225990</vt:i4>
      </vt:variant>
      <vt:variant>
        <vt:i4>60</vt:i4>
      </vt:variant>
      <vt:variant>
        <vt:i4>0</vt:i4>
      </vt:variant>
      <vt:variant>
        <vt:i4>5</vt:i4>
      </vt:variant>
      <vt:variant>
        <vt:lpwstr>http://www.ulsystem.net/</vt:lpwstr>
      </vt:variant>
      <vt:variant>
        <vt:lpwstr/>
      </vt:variant>
      <vt:variant>
        <vt:i4>3866735</vt:i4>
      </vt:variant>
      <vt:variant>
        <vt:i4>57</vt:i4>
      </vt:variant>
      <vt:variant>
        <vt:i4>0</vt:i4>
      </vt:variant>
      <vt:variant>
        <vt:i4>5</vt:i4>
      </vt:variant>
      <vt:variant>
        <vt:lpwstr>http://www.sus.edu/</vt:lpwstr>
      </vt:variant>
      <vt:variant>
        <vt:lpwstr/>
      </vt:variant>
      <vt:variant>
        <vt:i4>5963857</vt:i4>
      </vt:variant>
      <vt:variant>
        <vt:i4>54</vt:i4>
      </vt:variant>
      <vt:variant>
        <vt:i4>0</vt:i4>
      </vt:variant>
      <vt:variant>
        <vt:i4>5</vt:i4>
      </vt:variant>
      <vt:variant>
        <vt:lpwstr>http://www.lsusystem.lsu.edu/</vt:lpwstr>
      </vt:variant>
      <vt:variant>
        <vt:lpwstr/>
      </vt:variant>
      <vt:variant>
        <vt:i4>1376334</vt:i4>
      </vt:variant>
      <vt:variant>
        <vt:i4>45</vt:i4>
      </vt:variant>
      <vt:variant>
        <vt:i4>0</vt:i4>
      </vt:variant>
      <vt:variant>
        <vt:i4>5</vt:i4>
      </vt:variant>
      <vt:variant>
        <vt:lpwstr>http://www.regents.state.la.us/index.htm</vt:lpwstr>
      </vt:variant>
      <vt:variant>
        <vt:lpwstr/>
      </vt:variant>
      <vt:variant>
        <vt:i4>5505024</vt:i4>
      </vt:variant>
      <vt:variant>
        <vt:i4>42</vt:i4>
      </vt:variant>
      <vt:variant>
        <vt:i4>0</vt:i4>
      </vt:variant>
      <vt:variant>
        <vt:i4>5</vt:i4>
      </vt:variant>
      <vt:variant>
        <vt:lpwstr>http://www.regents.state.la.us/Board/articlevii-10.4.htm</vt:lpwstr>
      </vt:variant>
      <vt:variant>
        <vt:lpwstr/>
      </vt:variant>
      <vt:variant>
        <vt:i4>2228269</vt:i4>
      </vt:variant>
      <vt:variant>
        <vt:i4>36</vt:i4>
      </vt:variant>
      <vt:variant>
        <vt:i4>0</vt:i4>
      </vt:variant>
      <vt:variant>
        <vt:i4>5</vt:i4>
      </vt:variant>
      <vt:variant>
        <vt:lpwstr>http://www.regents.state.la.us/Board/articlevii.htm</vt:lpwstr>
      </vt:variant>
      <vt:variant>
        <vt:lpwstr/>
      </vt:variant>
      <vt:variant>
        <vt:i4>1310751</vt:i4>
      </vt:variant>
      <vt:variant>
        <vt:i4>30</vt:i4>
      </vt:variant>
      <vt:variant>
        <vt:i4>0</vt:i4>
      </vt:variant>
      <vt:variant>
        <vt:i4>5</vt:i4>
      </vt:variant>
      <vt:variant>
        <vt:lpwstr>http://www.regents.state.la.us/Board/articleviii.htm</vt:lpwstr>
      </vt:variant>
      <vt:variant>
        <vt:lpwstr/>
      </vt:variant>
      <vt:variant>
        <vt:i4>8257578</vt:i4>
      </vt:variant>
      <vt:variant>
        <vt:i4>24</vt:i4>
      </vt:variant>
      <vt:variant>
        <vt:i4>0</vt:i4>
      </vt:variant>
      <vt:variant>
        <vt:i4>5</vt:i4>
      </vt:variant>
      <vt:variant>
        <vt:lpwstr>http://senate.legis.state.la.us/Documents/Constitution/Default.htm</vt:lpwstr>
      </vt:variant>
      <vt:variant>
        <vt:lpwstr/>
      </vt:variant>
      <vt:variant>
        <vt:i4>1376334</vt:i4>
      </vt:variant>
      <vt:variant>
        <vt:i4>15</vt:i4>
      </vt:variant>
      <vt:variant>
        <vt:i4>0</vt:i4>
      </vt:variant>
      <vt:variant>
        <vt:i4>5</vt:i4>
      </vt:variant>
      <vt:variant>
        <vt:lpwstr>http://www.regents.state.la.us/index.htm</vt:lpwstr>
      </vt:variant>
      <vt:variant>
        <vt:lpwstr/>
      </vt:variant>
      <vt:variant>
        <vt:i4>1376334</vt:i4>
      </vt:variant>
      <vt:variant>
        <vt:i4>6</vt:i4>
      </vt:variant>
      <vt:variant>
        <vt:i4>0</vt:i4>
      </vt:variant>
      <vt:variant>
        <vt:i4>5</vt:i4>
      </vt:variant>
      <vt:variant>
        <vt:lpwstr>http://www.regents.state.la.us/index.htm</vt:lpwstr>
      </vt:variant>
      <vt:variant>
        <vt:lpwstr/>
      </vt:variant>
      <vt:variant>
        <vt:i4>1376334</vt:i4>
      </vt:variant>
      <vt:variant>
        <vt:i4>0</vt:i4>
      </vt:variant>
      <vt:variant>
        <vt:i4>0</vt:i4>
      </vt:variant>
      <vt:variant>
        <vt:i4>5</vt:i4>
      </vt:variant>
      <vt:variant>
        <vt:lpwstr>http://www.regents.state.la.us/index.htm</vt:lpwstr>
      </vt:variant>
      <vt:variant>
        <vt:lpwstr/>
      </vt:variant>
      <vt:variant>
        <vt:i4>3866662</vt:i4>
      </vt:variant>
      <vt:variant>
        <vt:i4>-1</vt:i4>
      </vt:variant>
      <vt:variant>
        <vt:i4>1027</vt:i4>
      </vt:variant>
      <vt:variant>
        <vt:i4>4</vt:i4>
      </vt:variant>
      <vt:variant>
        <vt:lpwstr>http://goformorela.org/</vt:lpwstr>
      </vt:variant>
      <vt:variant>
        <vt:lpwstr/>
      </vt:variant>
      <vt:variant>
        <vt:i4>7077985</vt:i4>
      </vt:variant>
      <vt:variant>
        <vt:i4>-1</vt:i4>
      </vt:variant>
      <vt:variant>
        <vt:i4>1028</vt:i4>
      </vt:variant>
      <vt:variant>
        <vt:i4>4</vt:i4>
      </vt:variant>
      <vt:variant>
        <vt:lpwstr>http://www.regents.state.la.us/Index/query.asp</vt:lpwstr>
      </vt:variant>
      <vt:variant>
        <vt:lpwstr/>
      </vt:variant>
      <vt:variant>
        <vt:i4>1376334</vt:i4>
      </vt:variant>
      <vt:variant>
        <vt:i4>-1</vt:i4>
      </vt:variant>
      <vt:variant>
        <vt:i4>1029</vt:i4>
      </vt:variant>
      <vt:variant>
        <vt:i4>4</vt:i4>
      </vt:variant>
      <vt:variant>
        <vt:lpwstr>http://www.regents.state.la.us/index.htm</vt:lpwstr>
      </vt:variant>
      <vt:variant>
        <vt:lpwstr/>
      </vt:variant>
      <vt:variant>
        <vt:i4>983069</vt:i4>
      </vt:variant>
      <vt:variant>
        <vt:i4>-1</vt:i4>
      </vt:variant>
      <vt:variant>
        <vt:i4>1030</vt:i4>
      </vt:variant>
      <vt:variant>
        <vt:i4>4</vt:i4>
      </vt:variant>
      <vt:variant>
        <vt:lpwstr>http://www.regents.state.la.us/Board/geninfo.htm</vt:lpwstr>
      </vt:variant>
      <vt:variant>
        <vt:lpwstr/>
      </vt:variant>
      <vt:variant>
        <vt:i4>5832796</vt:i4>
      </vt:variant>
      <vt:variant>
        <vt:i4>-1</vt:i4>
      </vt:variant>
      <vt:variant>
        <vt:i4>1031</vt:i4>
      </vt:variant>
      <vt:variant>
        <vt:i4>4</vt:i4>
      </vt:variant>
      <vt:variant>
        <vt:lpwstr>http://www.regents.state.la.us/PubRel/pubrelhome.htm</vt:lpwstr>
      </vt:variant>
      <vt:variant>
        <vt:lpwstr/>
      </vt:variant>
      <vt:variant>
        <vt:i4>3866662</vt:i4>
      </vt:variant>
      <vt:variant>
        <vt:i4>-1</vt:i4>
      </vt:variant>
      <vt:variant>
        <vt:i4>1043</vt:i4>
      </vt:variant>
      <vt:variant>
        <vt:i4>4</vt:i4>
      </vt:variant>
      <vt:variant>
        <vt:lpwstr>http://goformorela.org/</vt:lpwstr>
      </vt:variant>
      <vt:variant>
        <vt:lpwstr/>
      </vt:variant>
      <vt:variant>
        <vt:i4>7077985</vt:i4>
      </vt:variant>
      <vt:variant>
        <vt:i4>-1</vt:i4>
      </vt:variant>
      <vt:variant>
        <vt:i4>1044</vt:i4>
      </vt:variant>
      <vt:variant>
        <vt:i4>4</vt:i4>
      </vt:variant>
      <vt:variant>
        <vt:lpwstr>http://www.regents.state.la.us/Index/query.asp</vt:lpwstr>
      </vt:variant>
      <vt:variant>
        <vt:lpwstr/>
      </vt:variant>
      <vt:variant>
        <vt:i4>1376334</vt:i4>
      </vt:variant>
      <vt:variant>
        <vt:i4>-1</vt:i4>
      </vt:variant>
      <vt:variant>
        <vt:i4>1045</vt:i4>
      </vt:variant>
      <vt:variant>
        <vt:i4>4</vt:i4>
      </vt:variant>
      <vt:variant>
        <vt:lpwstr>http://www.regents.state.la.us/index.htm</vt:lpwstr>
      </vt:variant>
      <vt:variant>
        <vt:lpwstr/>
      </vt:variant>
      <vt:variant>
        <vt:i4>983069</vt:i4>
      </vt:variant>
      <vt:variant>
        <vt:i4>-1</vt:i4>
      </vt:variant>
      <vt:variant>
        <vt:i4>1046</vt:i4>
      </vt:variant>
      <vt:variant>
        <vt:i4>4</vt:i4>
      </vt:variant>
      <vt:variant>
        <vt:lpwstr>http://www.regents.state.la.us/Board/geninfo.htm</vt:lpwstr>
      </vt:variant>
      <vt:variant>
        <vt:lpwstr/>
      </vt:variant>
      <vt:variant>
        <vt:i4>5832796</vt:i4>
      </vt:variant>
      <vt:variant>
        <vt:i4>-1</vt:i4>
      </vt:variant>
      <vt:variant>
        <vt:i4>1047</vt:i4>
      </vt:variant>
      <vt:variant>
        <vt:i4>4</vt:i4>
      </vt:variant>
      <vt:variant>
        <vt:lpwstr>http://www.regents.state.la.us/PubRel/pubrelhome.htm</vt:lpwstr>
      </vt:variant>
      <vt:variant>
        <vt:lpwstr/>
      </vt:variant>
      <vt:variant>
        <vt:i4>3866662</vt:i4>
      </vt:variant>
      <vt:variant>
        <vt:i4>-1</vt:i4>
      </vt:variant>
      <vt:variant>
        <vt:i4>1049</vt:i4>
      </vt:variant>
      <vt:variant>
        <vt:i4>4</vt:i4>
      </vt:variant>
      <vt:variant>
        <vt:lpwstr>http://goformorela.org/</vt:lpwstr>
      </vt:variant>
      <vt:variant>
        <vt:lpwstr/>
      </vt:variant>
      <vt:variant>
        <vt:i4>7077985</vt:i4>
      </vt:variant>
      <vt:variant>
        <vt:i4>-1</vt:i4>
      </vt:variant>
      <vt:variant>
        <vt:i4>1050</vt:i4>
      </vt:variant>
      <vt:variant>
        <vt:i4>4</vt:i4>
      </vt:variant>
      <vt:variant>
        <vt:lpwstr>http://www.regents.state.la.us/Index/query.asp</vt:lpwstr>
      </vt:variant>
      <vt:variant>
        <vt:lpwstr/>
      </vt:variant>
      <vt:variant>
        <vt:i4>1376334</vt:i4>
      </vt:variant>
      <vt:variant>
        <vt:i4>-1</vt:i4>
      </vt:variant>
      <vt:variant>
        <vt:i4>1051</vt:i4>
      </vt:variant>
      <vt:variant>
        <vt:i4>4</vt:i4>
      </vt:variant>
      <vt:variant>
        <vt:lpwstr>http://www.regents.state.la.us/index.htm</vt:lpwstr>
      </vt:variant>
      <vt:variant>
        <vt:lpwstr/>
      </vt:variant>
      <vt:variant>
        <vt:i4>983069</vt:i4>
      </vt:variant>
      <vt:variant>
        <vt:i4>-1</vt:i4>
      </vt:variant>
      <vt:variant>
        <vt:i4>1052</vt:i4>
      </vt:variant>
      <vt:variant>
        <vt:i4>4</vt:i4>
      </vt:variant>
      <vt:variant>
        <vt:lpwstr>http://www.regents.state.la.us/Board/geninfo.htm</vt:lpwstr>
      </vt:variant>
      <vt:variant>
        <vt:lpwstr/>
      </vt:variant>
      <vt:variant>
        <vt:i4>5832796</vt:i4>
      </vt:variant>
      <vt:variant>
        <vt:i4>-1</vt:i4>
      </vt:variant>
      <vt:variant>
        <vt:i4>1053</vt:i4>
      </vt:variant>
      <vt:variant>
        <vt:i4>4</vt:i4>
      </vt:variant>
      <vt:variant>
        <vt:lpwstr>http://www.regents.state.la.us/PubRel/pubrelhome.htm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dc:creator>
  <cp:keywords/>
  <dc:description/>
  <cp:lastModifiedBy>jessica.domingue</cp:lastModifiedBy>
  <cp:revision>2</cp:revision>
  <cp:lastPrinted>2010-11-19T17:29:00Z</cp:lastPrinted>
  <dcterms:created xsi:type="dcterms:W3CDTF">2010-11-19T17:33:00Z</dcterms:created>
  <dcterms:modified xsi:type="dcterms:W3CDTF">2010-11-19T17:33:00Z</dcterms:modified>
</cp:coreProperties>
</file>